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5B" w:rsidRPr="00FD425B" w:rsidRDefault="00F6275A">
      <w:pPr>
        <w:pStyle w:val="BodyText"/>
        <w:rPr>
          <w:rFonts w:ascii="Cambria" w:hAnsi="Cambria"/>
        </w:rPr>
      </w:pPr>
      <w:r>
        <w:rPr>
          <w:rFonts w:ascii="Cambria" w:hAnsi="Cambria"/>
        </w:rPr>
        <w:t>Problem S</w:t>
      </w:r>
      <w:r w:rsidR="00FD425B" w:rsidRPr="00FD425B">
        <w:rPr>
          <w:rFonts w:ascii="Cambria" w:hAnsi="Cambria"/>
        </w:rPr>
        <w:t>et 7.</w:t>
      </w:r>
      <w:r w:rsidR="000D3EEB">
        <w:rPr>
          <w:rFonts w:ascii="Cambria" w:hAnsi="Cambria"/>
        </w:rPr>
        <w:t>1</w:t>
      </w:r>
      <w:r w:rsidR="00FD425B" w:rsidRPr="00FD425B">
        <w:rPr>
          <w:rFonts w:ascii="Cambria" w:hAnsi="Cambria"/>
        </w:rPr>
        <w:t>:  The Periodic Table-Trends</w:t>
      </w:r>
    </w:p>
    <w:p w:rsidR="00FD425B" w:rsidRDefault="00FD425B">
      <w:pPr>
        <w:rPr>
          <w:sz w:val="24"/>
        </w:rPr>
      </w:pPr>
    </w:p>
    <w:p w:rsidR="00E46D4A" w:rsidRPr="00E46D4A" w:rsidRDefault="00E46D4A" w:rsidP="00E46D4A">
      <w:pPr>
        <w:rPr>
          <w:rFonts w:asciiTheme="minorHAnsi" w:hAnsiTheme="minorHAnsi"/>
          <w:sz w:val="22"/>
          <w:szCs w:val="22"/>
        </w:rPr>
      </w:pPr>
      <w:r w:rsidRPr="00E46D4A">
        <w:rPr>
          <w:rFonts w:asciiTheme="minorHAnsi" w:hAnsiTheme="minorHAnsi"/>
          <w:sz w:val="22"/>
          <w:szCs w:val="22"/>
        </w:rPr>
        <w:t xml:space="preserve">The vertical columns in the periodic table are referred to as </w:t>
      </w:r>
      <w:r w:rsidRPr="00E46D4A">
        <w:rPr>
          <w:rFonts w:asciiTheme="minorHAnsi" w:hAnsiTheme="minorHAnsi"/>
          <w:b/>
          <w:sz w:val="22"/>
          <w:szCs w:val="22"/>
        </w:rPr>
        <w:t>families</w:t>
      </w:r>
      <w:r w:rsidR="00F6275A">
        <w:rPr>
          <w:rFonts w:asciiTheme="minorHAnsi" w:hAnsiTheme="minorHAnsi"/>
          <w:b/>
          <w:sz w:val="22"/>
          <w:szCs w:val="22"/>
        </w:rPr>
        <w:t xml:space="preserve"> or groups</w:t>
      </w:r>
      <w:r w:rsidRPr="00E46D4A">
        <w:rPr>
          <w:rFonts w:asciiTheme="minorHAnsi" w:hAnsiTheme="minorHAnsi"/>
          <w:sz w:val="22"/>
          <w:szCs w:val="22"/>
        </w:rPr>
        <w:t xml:space="preserve">.  Elements in a periodic table family, much like siblings in families, have some things in common.  The similarities of chemical reactivity and chemical behaviour are almost entirely due to the way in which electrons are arranged around the atoms of the elements in a chemical family. </w:t>
      </w:r>
    </w:p>
    <w:p w:rsidR="00E46D4A" w:rsidRPr="00E46D4A" w:rsidRDefault="00E46D4A" w:rsidP="00E46D4A">
      <w:pPr>
        <w:rPr>
          <w:rFonts w:asciiTheme="minorHAnsi" w:hAnsiTheme="minorHAnsi"/>
          <w:sz w:val="22"/>
          <w:szCs w:val="22"/>
        </w:rPr>
      </w:pPr>
    </w:p>
    <w:p w:rsidR="00E46D4A" w:rsidRPr="00E46D4A" w:rsidRDefault="00E46D4A" w:rsidP="00E46D4A">
      <w:pPr>
        <w:rPr>
          <w:rFonts w:asciiTheme="minorHAnsi" w:hAnsiTheme="minorHAnsi"/>
          <w:sz w:val="22"/>
          <w:szCs w:val="22"/>
        </w:rPr>
      </w:pPr>
      <w:r w:rsidRPr="00E46D4A">
        <w:rPr>
          <w:rFonts w:asciiTheme="minorHAnsi" w:hAnsiTheme="minorHAnsi"/>
          <w:sz w:val="22"/>
          <w:szCs w:val="22"/>
        </w:rPr>
        <w:t xml:space="preserve">Some of the families </w:t>
      </w:r>
      <w:proofErr w:type="gramStart"/>
      <w:r w:rsidRPr="00E46D4A">
        <w:rPr>
          <w:rFonts w:asciiTheme="minorHAnsi" w:hAnsiTheme="minorHAnsi"/>
          <w:sz w:val="22"/>
          <w:szCs w:val="22"/>
        </w:rPr>
        <w:t xml:space="preserve">have </w:t>
      </w:r>
      <w:r w:rsidR="00F6275A">
        <w:rPr>
          <w:rFonts w:asciiTheme="minorHAnsi" w:hAnsiTheme="minorHAnsi"/>
          <w:sz w:val="22"/>
          <w:szCs w:val="22"/>
        </w:rPr>
        <w:t xml:space="preserve"> particular</w:t>
      </w:r>
      <w:proofErr w:type="gramEnd"/>
      <w:r w:rsidR="00F6275A">
        <w:rPr>
          <w:rFonts w:asciiTheme="minorHAnsi" w:hAnsiTheme="minorHAnsi"/>
          <w:sz w:val="22"/>
          <w:szCs w:val="22"/>
        </w:rPr>
        <w:t xml:space="preserve"> </w:t>
      </w:r>
      <w:r w:rsidRPr="00E46D4A">
        <w:rPr>
          <w:rFonts w:asciiTheme="minorHAnsi" w:hAnsiTheme="minorHAnsi"/>
          <w:sz w:val="22"/>
          <w:szCs w:val="22"/>
        </w:rPr>
        <w:t>significance</w:t>
      </w:r>
      <w:r w:rsidR="00F6275A">
        <w:rPr>
          <w:rFonts w:asciiTheme="minorHAnsi" w:hAnsiTheme="minorHAnsi"/>
          <w:sz w:val="22"/>
          <w:szCs w:val="22"/>
        </w:rPr>
        <w:t>,</w:t>
      </w:r>
      <w:r w:rsidRPr="00E46D4A">
        <w:rPr>
          <w:rFonts w:asciiTheme="minorHAnsi" w:hAnsiTheme="minorHAnsi"/>
          <w:sz w:val="22"/>
          <w:szCs w:val="22"/>
        </w:rPr>
        <w:t xml:space="preserve"> both historically as well as due to their chemical reactivity (or lack thereof).  These have been given special names.  Group 1 elements are the </w:t>
      </w:r>
      <w:r w:rsidRPr="00E46D4A">
        <w:rPr>
          <w:rFonts w:asciiTheme="minorHAnsi" w:hAnsiTheme="minorHAnsi"/>
          <w:b/>
          <w:sz w:val="22"/>
          <w:szCs w:val="22"/>
        </w:rPr>
        <w:t>Alkali metals</w:t>
      </w:r>
      <w:r w:rsidRPr="00E46D4A">
        <w:rPr>
          <w:rFonts w:asciiTheme="minorHAnsi" w:hAnsiTheme="minorHAnsi"/>
          <w:sz w:val="22"/>
          <w:szCs w:val="22"/>
        </w:rPr>
        <w:t xml:space="preserve">, group 2 are the </w:t>
      </w:r>
      <w:r w:rsidRPr="00E46D4A">
        <w:rPr>
          <w:rFonts w:asciiTheme="minorHAnsi" w:hAnsiTheme="minorHAnsi"/>
          <w:b/>
          <w:sz w:val="22"/>
          <w:szCs w:val="22"/>
        </w:rPr>
        <w:t>Alkaline Earth metals</w:t>
      </w:r>
      <w:r w:rsidRPr="00E46D4A">
        <w:rPr>
          <w:rFonts w:asciiTheme="minorHAnsi" w:hAnsiTheme="minorHAnsi"/>
          <w:sz w:val="22"/>
          <w:szCs w:val="22"/>
        </w:rPr>
        <w:t xml:space="preserve">, groups 3-12 are labeled the </w:t>
      </w:r>
      <w:r w:rsidRPr="00E46D4A">
        <w:rPr>
          <w:rFonts w:asciiTheme="minorHAnsi" w:hAnsiTheme="minorHAnsi"/>
          <w:b/>
          <w:sz w:val="22"/>
          <w:szCs w:val="22"/>
        </w:rPr>
        <w:t>Transition metals</w:t>
      </w:r>
      <w:r w:rsidRPr="00E46D4A">
        <w:rPr>
          <w:rFonts w:asciiTheme="minorHAnsi" w:hAnsiTheme="minorHAnsi"/>
          <w:sz w:val="22"/>
          <w:szCs w:val="22"/>
        </w:rPr>
        <w:t xml:space="preserve">, group 17 the </w:t>
      </w:r>
      <w:r w:rsidRPr="00E46D4A">
        <w:rPr>
          <w:rFonts w:asciiTheme="minorHAnsi" w:hAnsiTheme="minorHAnsi"/>
          <w:b/>
          <w:sz w:val="22"/>
          <w:szCs w:val="22"/>
        </w:rPr>
        <w:t>Halogens</w:t>
      </w:r>
      <w:r w:rsidRPr="00E46D4A">
        <w:rPr>
          <w:rFonts w:asciiTheme="minorHAnsi" w:hAnsiTheme="minorHAnsi"/>
          <w:sz w:val="22"/>
          <w:szCs w:val="22"/>
        </w:rPr>
        <w:t xml:space="preserve"> and group 18 the </w:t>
      </w:r>
      <w:r w:rsidRPr="00E46D4A">
        <w:rPr>
          <w:rFonts w:asciiTheme="minorHAnsi" w:hAnsiTheme="minorHAnsi"/>
          <w:b/>
          <w:sz w:val="22"/>
          <w:szCs w:val="22"/>
        </w:rPr>
        <w:t>Noble gases</w:t>
      </w:r>
      <w:r w:rsidRPr="00E46D4A">
        <w:rPr>
          <w:rFonts w:asciiTheme="minorHAnsi" w:hAnsiTheme="minorHAnsi"/>
          <w:sz w:val="22"/>
          <w:szCs w:val="22"/>
        </w:rPr>
        <w:t xml:space="preserve">.  </w:t>
      </w:r>
    </w:p>
    <w:p w:rsidR="00E46D4A" w:rsidRPr="00E46D4A" w:rsidRDefault="00E46D4A" w:rsidP="00E46D4A">
      <w:pPr>
        <w:rPr>
          <w:rFonts w:asciiTheme="minorHAnsi" w:hAnsiTheme="minorHAnsi"/>
          <w:sz w:val="22"/>
          <w:szCs w:val="22"/>
        </w:rPr>
      </w:pPr>
    </w:p>
    <w:p w:rsidR="00E46D4A" w:rsidRPr="00E46D4A" w:rsidRDefault="00E46D4A" w:rsidP="00E46D4A">
      <w:pPr>
        <w:ind w:left="720" w:hanging="720"/>
        <w:rPr>
          <w:rFonts w:asciiTheme="minorHAnsi" w:hAnsiTheme="minorHAnsi"/>
          <w:sz w:val="22"/>
          <w:szCs w:val="22"/>
        </w:rPr>
      </w:pPr>
      <w:r>
        <w:rPr>
          <w:rFonts w:asciiTheme="minorHAnsi" w:hAnsiTheme="minorHAnsi"/>
          <w:sz w:val="22"/>
          <w:szCs w:val="22"/>
        </w:rPr>
        <w:t>1.1</w:t>
      </w:r>
      <w:r w:rsidRPr="00E46D4A">
        <w:rPr>
          <w:rFonts w:asciiTheme="minorHAnsi" w:hAnsiTheme="minorHAnsi"/>
          <w:sz w:val="22"/>
          <w:szCs w:val="22"/>
        </w:rPr>
        <w:tab/>
        <w:t>Which group do the following elements belong to?</w:t>
      </w:r>
    </w:p>
    <w:p w:rsidR="00E46D4A" w:rsidRPr="00E46D4A" w:rsidRDefault="00F6275A" w:rsidP="00E46D4A">
      <w:pPr>
        <w:ind w:left="720" w:hanging="720"/>
        <w:rPr>
          <w:rFonts w:asciiTheme="minorHAnsi" w:hAnsiTheme="minorHAnsi"/>
          <w:sz w:val="22"/>
          <w:szCs w:val="22"/>
        </w:rPr>
      </w:pPr>
      <w:r>
        <w:rPr>
          <w:rFonts w:asciiTheme="minorHAnsi" w:hAnsiTheme="minorHAnsi"/>
          <w:sz w:val="22"/>
          <w:szCs w:val="22"/>
        </w:rPr>
        <w:tab/>
        <w:t>a) Rubidium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 W</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46D4A" w:rsidRPr="00E46D4A">
        <w:rPr>
          <w:rFonts w:asciiTheme="minorHAnsi" w:hAnsiTheme="minorHAnsi"/>
          <w:sz w:val="22"/>
          <w:szCs w:val="22"/>
        </w:rPr>
        <w:t>c) Chlorine</w:t>
      </w:r>
    </w:p>
    <w:p w:rsidR="00E46D4A" w:rsidRPr="00E46D4A" w:rsidRDefault="00E46D4A" w:rsidP="00E46D4A">
      <w:pPr>
        <w:ind w:left="720" w:hanging="720"/>
        <w:rPr>
          <w:rFonts w:asciiTheme="minorHAnsi" w:hAnsiTheme="minorHAnsi"/>
          <w:sz w:val="22"/>
          <w:szCs w:val="22"/>
        </w:rPr>
      </w:pPr>
      <w:r w:rsidRPr="00E46D4A">
        <w:rPr>
          <w:rFonts w:asciiTheme="minorHAnsi" w:hAnsiTheme="minorHAnsi"/>
          <w:sz w:val="22"/>
          <w:szCs w:val="22"/>
        </w:rPr>
        <w:tab/>
        <w:t>d) Argon</w:t>
      </w:r>
      <w:r w:rsidRPr="00E46D4A">
        <w:rPr>
          <w:rFonts w:asciiTheme="minorHAnsi" w:hAnsiTheme="minorHAnsi"/>
          <w:sz w:val="22"/>
          <w:szCs w:val="22"/>
        </w:rPr>
        <w:tab/>
      </w:r>
      <w:r w:rsidRPr="00E46D4A">
        <w:rPr>
          <w:rFonts w:asciiTheme="minorHAnsi" w:hAnsiTheme="minorHAnsi"/>
          <w:sz w:val="22"/>
          <w:szCs w:val="22"/>
        </w:rPr>
        <w:tab/>
      </w:r>
      <w:r w:rsidRPr="00E46D4A">
        <w:rPr>
          <w:rFonts w:asciiTheme="minorHAnsi" w:hAnsiTheme="minorHAnsi"/>
          <w:sz w:val="22"/>
          <w:szCs w:val="22"/>
        </w:rPr>
        <w:tab/>
      </w:r>
      <w:r w:rsidRPr="00E46D4A">
        <w:rPr>
          <w:rFonts w:asciiTheme="minorHAnsi" w:hAnsiTheme="minorHAnsi"/>
          <w:sz w:val="22"/>
          <w:szCs w:val="22"/>
        </w:rPr>
        <w:tab/>
        <w:t>e) Gold</w:t>
      </w:r>
      <w:r w:rsidRPr="00E46D4A">
        <w:rPr>
          <w:rFonts w:asciiTheme="minorHAnsi" w:hAnsiTheme="minorHAnsi"/>
          <w:sz w:val="22"/>
          <w:szCs w:val="22"/>
        </w:rPr>
        <w:tab/>
      </w:r>
      <w:r w:rsidRPr="00E46D4A">
        <w:rPr>
          <w:rFonts w:asciiTheme="minorHAnsi" w:hAnsiTheme="minorHAnsi"/>
          <w:sz w:val="22"/>
          <w:szCs w:val="22"/>
        </w:rPr>
        <w:tab/>
      </w:r>
      <w:r w:rsidRPr="00E46D4A">
        <w:rPr>
          <w:rFonts w:asciiTheme="minorHAnsi" w:hAnsiTheme="minorHAnsi"/>
          <w:sz w:val="22"/>
          <w:szCs w:val="22"/>
        </w:rPr>
        <w:tab/>
        <w:t>f) Be</w:t>
      </w:r>
    </w:p>
    <w:p w:rsidR="00E46D4A" w:rsidRPr="00E46D4A" w:rsidRDefault="00E46D4A" w:rsidP="00E46D4A">
      <w:pPr>
        <w:ind w:left="720" w:hanging="720"/>
        <w:rPr>
          <w:rFonts w:asciiTheme="minorHAnsi" w:hAnsiTheme="minorHAnsi"/>
          <w:sz w:val="22"/>
          <w:szCs w:val="22"/>
        </w:rPr>
      </w:pPr>
    </w:p>
    <w:p w:rsidR="00E46D4A" w:rsidRPr="00E46D4A" w:rsidRDefault="00E46D4A" w:rsidP="00E46D4A">
      <w:pPr>
        <w:ind w:left="720" w:hanging="720"/>
        <w:rPr>
          <w:rFonts w:asciiTheme="minorHAnsi" w:hAnsiTheme="minorHAnsi"/>
          <w:sz w:val="22"/>
          <w:szCs w:val="22"/>
        </w:rPr>
      </w:pPr>
      <w:r w:rsidRPr="00E46D4A">
        <w:rPr>
          <w:rFonts w:asciiTheme="minorHAnsi" w:hAnsiTheme="minorHAnsi"/>
          <w:sz w:val="22"/>
          <w:szCs w:val="22"/>
        </w:rPr>
        <w:t>1</w:t>
      </w:r>
      <w:r>
        <w:rPr>
          <w:rFonts w:asciiTheme="minorHAnsi" w:hAnsiTheme="minorHAnsi"/>
          <w:sz w:val="22"/>
          <w:szCs w:val="22"/>
        </w:rPr>
        <w:t>.2</w:t>
      </w:r>
      <w:r w:rsidRPr="00E46D4A">
        <w:rPr>
          <w:rFonts w:asciiTheme="minorHAnsi" w:hAnsiTheme="minorHAnsi"/>
          <w:sz w:val="22"/>
          <w:szCs w:val="22"/>
        </w:rPr>
        <w:tab/>
        <w:t xml:space="preserve">For each of group 1, 2, 17 and 18, do some research to show a significant chemical reaction they undergo which demonstrates something about their </w:t>
      </w:r>
      <w:proofErr w:type="gramStart"/>
      <w:r w:rsidRPr="00E46D4A">
        <w:rPr>
          <w:rFonts w:asciiTheme="minorHAnsi" w:hAnsiTheme="minorHAnsi"/>
          <w:sz w:val="22"/>
          <w:szCs w:val="22"/>
        </w:rPr>
        <w:t>reactivity.</w:t>
      </w:r>
      <w:proofErr w:type="gramEnd"/>
    </w:p>
    <w:p w:rsidR="00E46D4A" w:rsidRPr="00E46D4A" w:rsidRDefault="00E46D4A" w:rsidP="00E46D4A">
      <w:pPr>
        <w:rPr>
          <w:rFonts w:asciiTheme="minorHAnsi" w:hAnsiTheme="minorHAnsi"/>
          <w:sz w:val="22"/>
          <w:szCs w:val="22"/>
        </w:rPr>
      </w:pPr>
    </w:p>
    <w:p w:rsidR="00E46D4A" w:rsidRPr="00E46D4A" w:rsidRDefault="00E46D4A" w:rsidP="00E46D4A">
      <w:pPr>
        <w:ind w:left="720" w:hanging="720"/>
        <w:rPr>
          <w:rFonts w:asciiTheme="minorHAnsi" w:hAnsiTheme="minorHAnsi"/>
          <w:sz w:val="22"/>
          <w:szCs w:val="22"/>
        </w:rPr>
      </w:pPr>
      <w:r w:rsidRPr="00E46D4A">
        <w:rPr>
          <w:rFonts w:asciiTheme="minorHAnsi" w:hAnsiTheme="minorHAnsi"/>
          <w:sz w:val="22"/>
          <w:szCs w:val="22"/>
        </w:rPr>
        <w:t>1</w:t>
      </w:r>
      <w:r>
        <w:rPr>
          <w:rFonts w:asciiTheme="minorHAnsi" w:hAnsiTheme="minorHAnsi"/>
          <w:sz w:val="22"/>
          <w:szCs w:val="22"/>
        </w:rPr>
        <w:t>.3</w:t>
      </w:r>
      <w:r w:rsidRPr="00E46D4A">
        <w:rPr>
          <w:rFonts w:asciiTheme="minorHAnsi" w:hAnsiTheme="minorHAnsi"/>
          <w:sz w:val="22"/>
          <w:szCs w:val="22"/>
        </w:rPr>
        <w:tab/>
        <w:t>A certain unknown element, X, was heated and mixed with a number of other elements and compounds.  It was found that it reacted violently with bromine to form an ionic compound with formula XBr</w:t>
      </w:r>
      <w:r w:rsidRPr="00E46D4A">
        <w:rPr>
          <w:rFonts w:asciiTheme="minorHAnsi" w:hAnsiTheme="minorHAnsi"/>
          <w:sz w:val="22"/>
          <w:szCs w:val="22"/>
          <w:vertAlign w:val="subscript"/>
        </w:rPr>
        <w:t>2</w:t>
      </w:r>
      <w:r w:rsidRPr="00E46D4A">
        <w:rPr>
          <w:rFonts w:asciiTheme="minorHAnsi" w:hAnsiTheme="minorHAnsi"/>
          <w:sz w:val="22"/>
          <w:szCs w:val="22"/>
        </w:rPr>
        <w:t>.  What formula do you expect for a reaction of the element directly below X, which we will call Y</w:t>
      </w:r>
      <w:proofErr w:type="gramStart"/>
      <w:r w:rsidRPr="00E46D4A">
        <w:rPr>
          <w:rFonts w:asciiTheme="minorHAnsi" w:hAnsiTheme="minorHAnsi"/>
          <w:sz w:val="22"/>
          <w:szCs w:val="22"/>
        </w:rPr>
        <w:t>,  with</w:t>
      </w:r>
      <w:proofErr w:type="gramEnd"/>
      <w:r w:rsidRPr="00E46D4A">
        <w:rPr>
          <w:rFonts w:asciiTheme="minorHAnsi" w:hAnsiTheme="minorHAnsi"/>
          <w:sz w:val="22"/>
          <w:szCs w:val="22"/>
        </w:rPr>
        <w:t xml:space="preserve"> Cl?  Explain your response.  What families do X and Y most likely belong to?</w:t>
      </w:r>
    </w:p>
    <w:p w:rsidR="00E46D4A" w:rsidRDefault="00E46D4A">
      <w:pPr>
        <w:rPr>
          <w:rFonts w:asciiTheme="minorHAnsi" w:hAnsiTheme="minorHAnsi"/>
          <w:sz w:val="22"/>
          <w:szCs w:val="22"/>
        </w:rPr>
      </w:pPr>
    </w:p>
    <w:p w:rsidR="00FD425B" w:rsidRPr="00FD2FBA" w:rsidRDefault="00E570A4">
      <w:pPr>
        <w:rPr>
          <w:rFonts w:asciiTheme="minorHAnsi" w:hAnsiTheme="minorHAnsi"/>
          <w:sz w:val="22"/>
          <w:szCs w:val="22"/>
        </w:rPr>
      </w:pPr>
      <w:r>
        <w:rPr>
          <w:rFonts w:asciiTheme="minorHAnsi" w:hAnsiTheme="minorHAnsi"/>
          <w:sz w:val="22"/>
          <w:szCs w:val="22"/>
        </w:rPr>
        <w:t xml:space="preserve">We have seen that elements in a family </w:t>
      </w:r>
      <w:r w:rsidR="00F6275A">
        <w:rPr>
          <w:rFonts w:asciiTheme="minorHAnsi" w:hAnsiTheme="minorHAnsi"/>
          <w:sz w:val="22"/>
          <w:szCs w:val="22"/>
        </w:rPr>
        <w:t>often react in a similar way</w:t>
      </w:r>
      <w:r>
        <w:rPr>
          <w:rFonts w:asciiTheme="minorHAnsi" w:hAnsiTheme="minorHAnsi"/>
          <w:sz w:val="22"/>
          <w:szCs w:val="22"/>
        </w:rPr>
        <w:t xml:space="preserve">.  </w:t>
      </w:r>
      <w:r w:rsidR="001E46EB">
        <w:rPr>
          <w:rFonts w:asciiTheme="minorHAnsi" w:hAnsiTheme="minorHAnsi"/>
          <w:sz w:val="22"/>
          <w:szCs w:val="22"/>
        </w:rPr>
        <w:t>This means that the oxides of one family, for example, will have similar ch</w:t>
      </w:r>
      <w:r w:rsidR="00F6275A">
        <w:rPr>
          <w:rFonts w:asciiTheme="minorHAnsi" w:hAnsiTheme="minorHAnsi"/>
          <w:sz w:val="22"/>
          <w:szCs w:val="22"/>
        </w:rPr>
        <w:t>emical formulae.  The oxide of l</w:t>
      </w:r>
      <w:r w:rsidR="001E46EB">
        <w:rPr>
          <w:rFonts w:asciiTheme="minorHAnsi" w:hAnsiTheme="minorHAnsi"/>
          <w:sz w:val="22"/>
          <w:szCs w:val="22"/>
        </w:rPr>
        <w:t>ithium is Li</w:t>
      </w:r>
      <w:r w:rsidR="001E46EB">
        <w:rPr>
          <w:rFonts w:asciiTheme="minorHAnsi" w:hAnsiTheme="minorHAnsi"/>
          <w:sz w:val="22"/>
          <w:szCs w:val="22"/>
          <w:vertAlign w:val="subscript"/>
        </w:rPr>
        <w:t>2</w:t>
      </w:r>
      <w:r w:rsidR="00F6275A">
        <w:rPr>
          <w:rFonts w:asciiTheme="minorHAnsi" w:hAnsiTheme="minorHAnsi"/>
          <w:sz w:val="22"/>
          <w:szCs w:val="22"/>
        </w:rPr>
        <w:t>O, the oxide of s</w:t>
      </w:r>
      <w:r w:rsidR="001E46EB">
        <w:rPr>
          <w:rFonts w:asciiTheme="minorHAnsi" w:hAnsiTheme="minorHAnsi"/>
          <w:sz w:val="22"/>
          <w:szCs w:val="22"/>
        </w:rPr>
        <w:t>odium is Na</w:t>
      </w:r>
      <w:r w:rsidR="001E46EB">
        <w:rPr>
          <w:rFonts w:asciiTheme="minorHAnsi" w:hAnsiTheme="minorHAnsi"/>
          <w:sz w:val="22"/>
          <w:szCs w:val="22"/>
          <w:vertAlign w:val="subscript"/>
        </w:rPr>
        <w:t>2</w:t>
      </w:r>
      <w:r w:rsidR="001E46EB">
        <w:rPr>
          <w:rFonts w:asciiTheme="minorHAnsi" w:hAnsiTheme="minorHAnsi"/>
          <w:sz w:val="22"/>
          <w:szCs w:val="22"/>
        </w:rPr>
        <w:t>O,</w:t>
      </w:r>
      <w:r w:rsidR="00F6275A">
        <w:rPr>
          <w:rFonts w:asciiTheme="minorHAnsi" w:hAnsiTheme="minorHAnsi"/>
          <w:sz w:val="22"/>
          <w:szCs w:val="22"/>
        </w:rPr>
        <w:t xml:space="preserve"> the oxide of p</w:t>
      </w:r>
      <w:r w:rsidR="001E46EB">
        <w:rPr>
          <w:rFonts w:asciiTheme="minorHAnsi" w:hAnsiTheme="minorHAnsi"/>
          <w:sz w:val="22"/>
          <w:szCs w:val="22"/>
        </w:rPr>
        <w:t>otassium is K</w:t>
      </w:r>
      <w:r w:rsidR="001E46EB">
        <w:rPr>
          <w:rFonts w:asciiTheme="minorHAnsi" w:hAnsiTheme="minorHAnsi"/>
          <w:sz w:val="22"/>
          <w:szCs w:val="22"/>
          <w:vertAlign w:val="subscript"/>
        </w:rPr>
        <w:t>2</w:t>
      </w:r>
      <w:r w:rsidR="001E46EB">
        <w:rPr>
          <w:rFonts w:asciiTheme="minorHAnsi" w:hAnsiTheme="minorHAnsi"/>
          <w:sz w:val="22"/>
          <w:szCs w:val="22"/>
        </w:rPr>
        <w:t>O</w:t>
      </w:r>
      <w:r w:rsidR="00F6275A">
        <w:rPr>
          <w:rFonts w:asciiTheme="minorHAnsi" w:hAnsiTheme="minorHAnsi"/>
          <w:sz w:val="22"/>
          <w:szCs w:val="22"/>
        </w:rPr>
        <w:t>, etc..</w:t>
      </w:r>
      <w:r w:rsidR="001E46EB">
        <w:rPr>
          <w:rFonts w:asciiTheme="minorHAnsi" w:hAnsiTheme="minorHAnsi"/>
          <w:sz w:val="22"/>
          <w:szCs w:val="22"/>
        </w:rPr>
        <w:t xml:space="preserve">.  </w:t>
      </w:r>
      <w:r>
        <w:rPr>
          <w:rFonts w:asciiTheme="minorHAnsi" w:hAnsiTheme="minorHAnsi"/>
          <w:sz w:val="22"/>
          <w:szCs w:val="22"/>
        </w:rPr>
        <w:t xml:space="preserve">Answer the following to explore the </w:t>
      </w:r>
      <w:proofErr w:type="spellStart"/>
      <w:r>
        <w:rPr>
          <w:rFonts w:asciiTheme="minorHAnsi" w:hAnsiTheme="minorHAnsi"/>
          <w:sz w:val="22"/>
          <w:szCs w:val="22"/>
        </w:rPr>
        <w:t>reactivities</w:t>
      </w:r>
      <w:proofErr w:type="spellEnd"/>
      <w:r>
        <w:rPr>
          <w:rFonts w:asciiTheme="minorHAnsi" w:hAnsiTheme="minorHAnsi"/>
          <w:sz w:val="22"/>
          <w:szCs w:val="22"/>
        </w:rPr>
        <w:t xml:space="preserve"> of families of elements.</w:t>
      </w:r>
    </w:p>
    <w:p w:rsidR="00FD425B" w:rsidRPr="00FD2FBA" w:rsidRDefault="00FD425B">
      <w:pPr>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1.4</w:t>
      </w:r>
      <w:r w:rsidR="00FD425B" w:rsidRPr="00FD2FBA">
        <w:rPr>
          <w:rFonts w:asciiTheme="minorHAnsi" w:hAnsiTheme="minorHAnsi"/>
          <w:sz w:val="22"/>
          <w:szCs w:val="22"/>
        </w:rPr>
        <w:tab/>
        <w:t>You know that the formula for water is H</w:t>
      </w:r>
      <w:r w:rsidR="00FD425B" w:rsidRPr="00FD2FBA">
        <w:rPr>
          <w:rFonts w:asciiTheme="minorHAnsi" w:hAnsiTheme="minorHAnsi"/>
          <w:sz w:val="22"/>
          <w:szCs w:val="22"/>
          <w:vertAlign w:val="subscript"/>
        </w:rPr>
        <w:t>2</w:t>
      </w:r>
      <w:r w:rsidR="00FD425B" w:rsidRPr="00FD2FBA">
        <w:rPr>
          <w:rFonts w:asciiTheme="minorHAnsi" w:hAnsiTheme="minorHAnsi"/>
          <w:sz w:val="22"/>
          <w:szCs w:val="22"/>
        </w:rPr>
        <w:t>O.  List the formulas for the compounds of hydrogen with the rest of the elements in the same f</w:t>
      </w:r>
      <w:r w:rsidR="00D3501B">
        <w:rPr>
          <w:rFonts w:asciiTheme="minorHAnsi" w:hAnsiTheme="minorHAnsi"/>
          <w:sz w:val="22"/>
          <w:szCs w:val="22"/>
        </w:rPr>
        <w:t>amily as oxygen.  (</w:t>
      </w:r>
      <w:proofErr w:type="gramStart"/>
      <w:r w:rsidR="00D3501B">
        <w:rPr>
          <w:rFonts w:asciiTheme="minorHAnsi" w:hAnsiTheme="minorHAnsi"/>
          <w:sz w:val="22"/>
          <w:szCs w:val="22"/>
        </w:rPr>
        <w:t>family</w:t>
      </w:r>
      <w:proofErr w:type="gramEnd"/>
      <w:r w:rsidR="00FD425B" w:rsidRPr="00FD2FBA">
        <w:rPr>
          <w:rFonts w:asciiTheme="minorHAnsi" w:hAnsiTheme="minorHAnsi"/>
          <w:sz w:val="22"/>
          <w:szCs w:val="22"/>
        </w:rPr>
        <w:t xml:space="preserve"> 16).</w:t>
      </w:r>
      <w:r w:rsidR="001E46EB">
        <w:rPr>
          <w:rFonts w:asciiTheme="minorHAnsi" w:hAnsiTheme="minorHAnsi"/>
          <w:sz w:val="22"/>
          <w:szCs w:val="22"/>
        </w:rPr>
        <w:t xml:space="preserve">  Assume that all of the elements in the family will react in the same way that oxygen does.</w:t>
      </w:r>
    </w:p>
    <w:p w:rsidR="00FD425B" w:rsidRPr="00FD2FBA" w:rsidRDefault="00FD425B">
      <w:pPr>
        <w:ind w:left="720" w:hanging="720"/>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1.5</w:t>
      </w:r>
      <w:r w:rsidR="00FD425B" w:rsidRPr="00FD2FBA">
        <w:rPr>
          <w:rFonts w:asciiTheme="minorHAnsi" w:hAnsiTheme="minorHAnsi"/>
          <w:sz w:val="22"/>
          <w:szCs w:val="22"/>
        </w:rPr>
        <w:tab/>
        <w:t>The formula for rust (iron oxide) is Fe</w:t>
      </w:r>
      <w:r w:rsidR="00FD425B" w:rsidRPr="00FD2FBA">
        <w:rPr>
          <w:rFonts w:asciiTheme="minorHAnsi" w:hAnsiTheme="minorHAnsi"/>
          <w:sz w:val="22"/>
          <w:szCs w:val="22"/>
          <w:vertAlign w:val="subscript"/>
        </w:rPr>
        <w:t>2</w:t>
      </w:r>
      <w:r w:rsidR="00FD425B" w:rsidRPr="00FD2FBA">
        <w:rPr>
          <w:rFonts w:asciiTheme="minorHAnsi" w:hAnsiTheme="minorHAnsi"/>
          <w:sz w:val="22"/>
          <w:szCs w:val="22"/>
        </w:rPr>
        <w:t>O</w:t>
      </w:r>
      <w:r w:rsidR="00FD425B" w:rsidRPr="00FD2FBA">
        <w:rPr>
          <w:rFonts w:asciiTheme="minorHAnsi" w:hAnsiTheme="minorHAnsi"/>
          <w:sz w:val="22"/>
          <w:szCs w:val="22"/>
          <w:vertAlign w:val="subscript"/>
        </w:rPr>
        <w:t>3</w:t>
      </w:r>
      <w:r w:rsidR="00FD425B" w:rsidRPr="00FD2FBA">
        <w:rPr>
          <w:rFonts w:asciiTheme="minorHAnsi" w:hAnsiTheme="minorHAnsi"/>
          <w:sz w:val="22"/>
          <w:szCs w:val="22"/>
        </w:rPr>
        <w:t>.  What do you suspect the formula is for osmium sulfide?</w:t>
      </w:r>
    </w:p>
    <w:p w:rsidR="00FD425B" w:rsidRPr="00FD2FBA" w:rsidRDefault="00FD425B">
      <w:pPr>
        <w:ind w:left="720" w:hanging="720"/>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1.6</w:t>
      </w:r>
      <w:r w:rsidR="00FD425B" w:rsidRPr="00FD2FBA">
        <w:rPr>
          <w:rFonts w:asciiTheme="minorHAnsi" w:hAnsiTheme="minorHAnsi"/>
          <w:sz w:val="22"/>
          <w:szCs w:val="22"/>
        </w:rPr>
        <w:tab/>
        <w:t xml:space="preserve">The formula for boron </w:t>
      </w:r>
      <w:proofErr w:type="spellStart"/>
      <w:r w:rsidR="00FD425B" w:rsidRPr="00FD2FBA">
        <w:rPr>
          <w:rFonts w:asciiTheme="minorHAnsi" w:hAnsiTheme="minorHAnsi"/>
          <w:sz w:val="22"/>
          <w:szCs w:val="22"/>
        </w:rPr>
        <w:t>trichloride</w:t>
      </w:r>
      <w:proofErr w:type="spellEnd"/>
      <w:r w:rsidR="00FD425B" w:rsidRPr="00FD2FBA">
        <w:rPr>
          <w:rFonts w:asciiTheme="minorHAnsi" w:hAnsiTheme="minorHAnsi"/>
          <w:sz w:val="22"/>
          <w:szCs w:val="22"/>
        </w:rPr>
        <w:t xml:space="preserve"> is BCl</w:t>
      </w:r>
      <w:r w:rsidR="00FD425B" w:rsidRPr="00FD2FBA">
        <w:rPr>
          <w:rFonts w:asciiTheme="minorHAnsi" w:hAnsiTheme="minorHAnsi"/>
          <w:sz w:val="22"/>
          <w:szCs w:val="22"/>
          <w:vertAlign w:val="subscript"/>
        </w:rPr>
        <w:t>3</w:t>
      </w:r>
      <w:r w:rsidR="00FD425B" w:rsidRPr="00FD2FBA">
        <w:rPr>
          <w:rFonts w:asciiTheme="minorHAnsi" w:hAnsiTheme="minorHAnsi"/>
          <w:sz w:val="22"/>
          <w:szCs w:val="22"/>
        </w:rPr>
        <w:t>.  What do you suspect the formula is for the compound that forms between aluminum and Iodine?</w:t>
      </w:r>
    </w:p>
    <w:p w:rsidR="00FD425B" w:rsidRPr="00FD2FBA" w:rsidRDefault="00FD425B">
      <w:pPr>
        <w:ind w:left="720" w:hanging="720"/>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1.7</w:t>
      </w:r>
      <w:r w:rsidR="00FD425B" w:rsidRPr="00FD2FBA">
        <w:rPr>
          <w:rFonts w:asciiTheme="minorHAnsi" w:hAnsiTheme="minorHAnsi"/>
          <w:sz w:val="22"/>
          <w:szCs w:val="22"/>
        </w:rPr>
        <w:tab/>
        <w:t>What is the formula for the compound that forms between germanium and oxygen?</w:t>
      </w:r>
    </w:p>
    <w:p w:rsidR="00FD425B" w:rsidRPr="00FD2FBA" w:rsidRDefault="00FD425B">
      <w:pPr>
        <w:ind w:left="720" w:hanging="720"/>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1.8</w:t>
      </w:r>
      <w:r w:rsidR="00FD425B" w:rsidRPr="00FD2FBA">
        <w:rPr>
          <w:rFonts w:asciiTheme="minorHAnsi" w:hAnsiTheme="minorHAnsi"/>
          <w:sz w:val="22"/>
          <w:szCs w:val="22"/>
        </w:rPr>
        <w:tab/>
        <w:t>What is the formula for the compound that forms between sodium and arsenic?</w:t>
      </w:r>
    </w:p>
    <w:p w:rsidR="00FD425B" w:rsidRPr="00FD2FBA" w:rsidRDefault="00FD425B">
      <w:pPr>
        <w:ind w:left="720" w:hanging="720"/>
        <w:rPr>
          <w:rFonts w:asciiTheme="minorHAnsi" w:hAnsiTheme="minorHAnsi"/>
          <w:sz w:val="22"/>
          <w:szCs w:val="22"/>
        </w:rPr>
      </w:pPr>
    </w:p>
    <w:p w:rsidR="00FD425B" w:rsidRPr="00FD2FBA" w:rsidRDefault="00E46D4A">
      <w:pPr>
        <w:ind w:left="720" w:hanging="720"/>
        <w:rPr>
          <w:rFonts w:asciiTheme="minorHAnsi" w:hAnsiTheme="minorHAnsi"/>
          <w:sz w:val="22"/>
          <w:szCs w:val="22"/>
        </w:rPr>
      </w:pPr>
      <w:r>
        <w:rPr>
          <w:rFonts w:asciiTheme="minorHAnsi" w:hAnsiTheme="minorHAnsi"/>
          <w:sz w:val="22"/>
          <w:szCs w:val="22"/>
        </w:rPr>
        <w:t>1.9</w:t>
      </w:r>
      <w:r w:rsidR="00FD425B" w:rsidRPr="00FD2FBA">
        <w:rPr>
          <w:rFonts w:asciiTheme="minorHAnsi" w:hAnsiTheme="minorHAnsi"/>
          <w:sz w:val="22"/>
          <w:szCs w:val="22"/>
        </w:rPr>
        <w:tab/>
        <w:t xml:space="preserve">Explain why you think that </w:t>
      </w:r>
      <w:proofErr w:type="spellStart"/>
      <w:r w:rsidR="00FD425B" w:rsidRPr="00FD2FBA">
        <w:rPr>
          <w:rFonts w:asciiTheme="minorHAnsi" w:hAnsiTheme="minorHAnsi"/>
          <w:sz w:val="22"/>
          <w:szCs w:val="22"/>
        </w:rPr>
        <w:t>ClO</w:t>
      </w:r>
      <w:proofErr w:type="spellEnd"/>
      <w:r w:rsidR="00FD425B" w:rsidRPr="00FD2FBA">
        <w:rPr>
          <w:rFonts w:asciiTheme="minorHAnsi" w:hAnsiTheme="minorHAnsi"/>
          <w:sz w:val="22"/>
          <w:szCs w:val="22"/>
        </w:rPr>
        <w:t xml:space="preserve"> either does or does not exist.</w:t>
      </w:r>
    </w:p>
    <w:p w:rsidR="00FD425B" w:rsidRPr="00FD2FBA" w:rsidRDefault="00FD425B">
      <w:pPr>
        <w:rPr>
          <w:rFonts w:asciiTheme="minorHAnsi" w:hAnsiTheme="minorHAnsi"/>
          <w:sz w:val="22"/>
          <w:szCs w:val="22"/>
        </w:rPr>
      </w:pPr>
    </w:p>
    <w:p w:rsidR="00F6275A" w:rsidRDefault="00FD425B">
      <w:pPr>
        <w:rPr>
          <w:rFonts w:asciiTheme="minorHAnsi" w:hAnsiTheme="minorHAnsi"/>
          <w:sz w:val="22"/>
          <w:szCs w:val="22"/>
        </w:rPr>
      </w:pPr>
      <w:r w:rsidRPr="00FD2FBA">
        <w:rPr>
          <w:rFonts w:asciiTheme="minorHAnsi" w:hAnsiTheme="minorHAnsi"/>
          <w:sz w:val="22"/>
          <w:szCs w:val="22"/>
        </w:rPr>
        <w:t>We have now seen the trend that as we proceed down a family, the number of valence electrons on an element stays the same.  We will now begin to explore other trends in the periodic table, and</w:t>
      </w:r>
      <w:r w:rsidR="00F6275A">
        <w:rPr>
          <w:rFonts w:asciiTheme="minorHAnsi" w:hAnsiTheme="minorHAnsi"/>
          <w:sz w:val="22"/>
          <w:szCs w:val="22"/>
        </w:rPr>
        <w:t xml:space="preserve"> begin to unravel is complexity while also acknowledging its </w:t>
      </w:r>
      <w:r w:rsidRPr="00FD2FBA">
        <w:rPr>
          <w:rFonts w:asciiTheme="minorHAnsi" w:hAnsiTheme="minorHAnsi"/>
          <w:sz w:val="22"/>
          <w:szCs w:val="22"/>
        </w:rPr>
        <w:t>orderliness.  There are exceptions to trends at times</w:t>
      </w:r>
      <w:r w:rsidR="00F6275A">
        <w:rPr>
          <w:rFonts w:asciiTheme="minorHAnsi" w:hAnsiTheme="minorHAnsi"/>
          <w:sz w:val="22"/>
          <w:szCs w:val="22"/>
        </w:rPr>
        <w:t xml:space="preserve">. </w:t>
      </w:r>
    </w:p>
    <w:p w:rsidR="00F6275A" w:rsidRDefault="00F6275A">
      <w:pPr>
        <w:rPr>
          <w:rFonts w:asciiTheme="minorHAnsi" w:hAnsiTheme="minorHAnsi"/>
          <w:sz w:val="22"/>
          <w:szCs w:val="22"/>
        </w:rPr>
      </w:pPr>
    </w:p>
    <w:p w:rsidR="00FD425B" w:rsidRDefault="00FD425B">
      <w:pPr>
        <w:rPr>
          <w:rFonts w:asciiTheme="minorHAnsi" w:hAnsiTheme="minorHAnsi"/>
          <w:sz w:val="22"/>
          <w:szCs w:val="22"/>
        </w:rPr>
      </w:pPr>
      <w:r w:rsidRPr="00FD2FBA">
        <w:rPr>
          <w:rFonts w:asciiTheme="minorHAnsi" w:hAnsiTheme="minorHAnsi"/>
          <w:sz w:val="22"/>
          <w:szCs w:val="22"/>
        </w:rPr>
        <w:t>To help you to focus on the trends, try to look first from peak to peak or from valley to valley.  If the charts on the following pages were roller coaster rides, which elements are found at each of the highest points?  Is there a relationship between these elements on the periodic table?</w:t>
      </w:r>
    </w:p>
    <w:p w:rsidR="00E46D4A" w:rsidRPr="00FD2FBA" w:rsidRDefault="00E46D4A">
      <w:pPr>
        <w:rPr>
          <w:rFonts w:asciiTheme="minorHAnsi" w:hAnsiTheme="minorHAnsi"/>
          <w:sz w:val="22"/>
          <w:szCs w:val="22"/>
        </w:rPr>
      </w:pPr>
    </w:p>
    <w:p w:rsidR="00E46D4A" w:rsidRDefault="00E46D4A">
      <w:pPr>
        <w:rPr>
          <w:rFonts w:asciiTheme="minorHAnsi" w:hAnsiTheme="minorHAnsi"/>
          <w:sz w:val="22"/>
          <w:szCs w:val="22"/>
        </w:rPr>
      </w:pPr>
    </w:p>
    <w:p w:rsidR="00FD425B" w:rsidRPr="00FD2FBA" w:rsidRDefault="00FD425B">
      <w:pPr>
        <w:rPr>
          <w:rFonts w:asciiTheme="minorHAnsi" w:hAnsiTheme="minorHAnsi"/>
          <w:sz w:val="22"/>
          <w:szCs w:val="22"/>
        </w:rPr>
      </w:pPr>
      <w:r w:rsidRPr="00FD2FBA">
        <w:rPr>
          <w:rFonts w:asciiTheme="minorHAnsi" w:hAnsiTheme="minorHAnsi"/>
          <w:sz w:val="22"/>
          <w:szCs w:val="22"/>
        </w:rPr>
        <w:lastRenderedPageBreak/>
        <w:t xml:space="preserve">Refer to the charts </w:t>
      </w:r>
      <w:r w:rsidR="00E46D4A">
        <w:rPr>
          <w:rFonts w:asciiTheme="minorHAnsi" w:hAnsiTheme="minorHAnsi"/>
          <w:sz w:val="22"/>
          <w:szCs w:val="22"/>
        </w:rPr>
        <w:t xml:space="preserve">below </w:t>
      </w:r>
      <w:r w:rsidRPr="00FD2FBA">
        <w:rPr>
          <w:rFonts w:asciiTheme="minorHAnsi" w:hAnsiTheme="minorHAnsi"/>
          <w:sz w:val="22"/>
          <w:szCs w:val="22"/>
        </w:rPr>
        <w:t xml:space="preserve">in order to answer the following questions.  </w:t>
      </w:r>
    </w:p>
    <w:p w:rsidR="00FD425B" w:rsidRDefault="00361295">
      <w:pPr>
        <w:rPr>
          <w:sz w:val="24"/>
        </w:rPr>
      </w:pPr>
      <w:r w:rsidRPr="00FD2FBA">
        <w:rPr>
          <w:rFonts w:asciiTheme="minorHAnsi" w:hAnsiTheme="minorHAnsi"/>
          <w:sz w:val="22"/>
          <w:szCs w:val="22"/>
        </w:rPr>
        <w:t>T</w:t>
      </w:r>
      <w:r w:rsidR="00FD425B" w:rsidRPr="00FD2FBA">
        <w:rPr>
          <w:rFonts w:asciiTheme="minorHAnsi" w:hAnsiTheme="minorHAnsi"/>
          <w:sz w:val="22"/>
          <w:szCs w:val="22"/>
        </w:rPr>
        <w:t xml:space="preserve">he first trend we can see is that of the size of atoms.  Refer to the chart </w:t>
      </w:r>
      <w:r w:rsidR="00784B37" w:rsidRPr="00FD2FBA">
        <w:rPr>
          <w:rFonts w:asciiTheme="minorHAnsi" w:hAnsiTheme="minorHAnsi"/>
          <w:sz w:val="22"/>
          <w:szCs w:val="22"/>
        </w:rPr>
        <w:t>below as you answer the questions that follow:</w:t>
      </w:r>
      <w:r w:rsidR="00FD425B">
        <w:rPr>
          <w:sz w:val="24"/>
        </w:rPr>
        <w:t xml:space="preserve"> </w:t>
      </w:r>
    </w:p>
    <w:p w:rsidR="00E46D4A" w:rsidRDefault="00E46D4A" w:rsidP="00E46D4A">
      <w:pPr>
        <w:rPr>
          <w:rFonts w:asciiTheme="minorHAnsi" w:hAnsiTheme="minorHAnsi"/>
          <w:sz w:val="22"/>
          <w:szCs w:val="22"/>
        </w:rPr>
      </w:pPr>
      <w:r>
        <w:rPr>
          <w:noProof/>
          <w:sz w:val="24"/>
          <w:lang w:val="en-CA" w:eastAsia="en-CA"/>
        </w:rPr>
        <w:drawing>
          <wp:anchor distT="0" distB="0" distL="114300" distR="114300" simplePos="0" relativeHeight="251655168" behindDoc="1" locked="0" layoutInCell="0" allowOverlap="1" wp14:anchorId="201F296C" wp14:editId="6684E11C">
            <wp:simplePos x="0" y="0"/>
            <wp:positionH relativeFrom="column">
              <wp:posOffset>5715</wp:posOffset>
            </wp:positionH>
            <wp:positionV relativeFrom="paragraph">
              <wp:posOffset>47625</wp:posOffset>
            </wp:positionV>
            <wp:extent cx="6837680" cy="3729990"/>
            <wp:effectExtent l="0" t="0" r="1270" b="3810"/>
            <wp:wrapTopAndBottom/>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46D4A" w:rsidRDefault="00E46D4A" w:rsidP="00E46D4A">
      <w:pPr>
        <w:rPr>
          <w:rFonts w:asciiTheme="minorHAnsi" w:hAnsiTheme="minorHAnsi"/>
          <w:sz w:val="22"/>
          <w:szCs w:val="22"/>
        </w:rPr>
      </w:pPr>
    </w:p>
    <w:p w:rsidR="00FD425B" w:rsidRPr="009B2D77" w:rsidRDefault="00E46D4A" w:rsidP="00E46D4A">
      <w:pPr>
        <w:rPr>
          <w:rFonts w:asciiTheme="minorHAnsi" w:hAnsiTheme="minorHAnsi"/>
          <w:sz w:val="22"/>
          <w:szCs w:val="22"/>
        </w:rPr>
      </w:pPr>
      <w:r>
        <w:rPr>
          <w:rFonts w:asciiTheme="minorHAnsi" w:hAnsiTheme="minorHAnsi"/>
          <w:sz w:val="22"/>
          <w:szCs w:val="22"/>
        </w:rPr>
        <w:t>1.10</w:t>
      </w:r>
      <w:r w:rsidR="00FD425B" w:rsidRPr="009B2D77">
        <w:rPr>
          <w:rFonts w:asciiTheme="minorHAnsi" w:hAnsiTheme="minorHAnsi"/>
          <w:sz w:val="22"/>
          <w:szCs w:val="22"/>
        </w:rPr>
        <w:tab/>
        <w:t>Which of the elements (excluding H) has the atom with the smallest radius?  Which has the largest?</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1.11</w:t>
      </w:r>
      <w:r w:rsidR="00FD425B" w:rsidRPr="009B2D77">
        <w:rPr>
          <w:rFonts w:asciiTheme="minorHAnsi" w:hAnsiTheme="minorHAnsi"/>
          <w:sz w:val="22"/>
          <w:szCs w:val="22"/>
        </w:rPr>
        <w:tab/>
        <w:t xml:space="preserve">What happens to the size of the atom as you move down a family on the periodic table?  Try looking at group </w:t>
      </w:r>
      <w:r w:rsidR="00D3501B">
        <w:rPr>
          <w:rFonts w:asciiTheme="minorHAnsi" w:hAnsiTheme="minorHAnsi"/>
          <w:sz w:val="22"/>
          <w:szCs w:val="22"/>
        </w:rPr>
        <w:t>1</w:t>
      </w:r>
      <w:r w:rsidR="00FD425B" w:rsidRPr="009B2D77">
        <w:rPr>
          <w:rFonts w:asciiTheme="minorHAnsi" w:hAnsiTheme="minorHAnsi"/>
          <w:sz w:val="22"/>
          <w:szCs w:val="22"/>
        </w:rPr>
        <w:t xml:space="preserve">, the alkali metals first, </w:t>
      </w:r>
      <w:proofErr w:type="gramStart"/>
      <w:r w:rsidR="00FD425B" w:rsidRPr="009B2D77">
        <w:rPr>
          <w:rFonts w:asciiTheme="minorHAnsi" w:hAnsiTheme="minorHAnsi"/>
          <w:sz w:val="22"/>
          <w:szCs w:val="22"/>
        </w:rPr>
        <w:t>then</w:t>
      </w:r>
      <w:proofErr w:type="gramEnd"/>
      <w:r w:rsidR="00FD425B" w:rsidRPr="009B2D77">
        <w:rPr>
          <w:rFonts w:asciiTheme="minorHAnsi" w:hAnsiTheme="minorHAnsi"/>
          <w:sz w:val="22"/>
          <w:szCs w:val="22"/>
        </w:rPr>
        <w:t xml:space="preserve"> try other families as well.</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1.12</w:t>
      </w:r>
      <w:r w:rsidR="00FD425B" w:rsidRPr="009B2D77">
        <w:rPr>
          <w:rFonts w:asciiTheme="minorHAnsi" w:hAnsiTheme="minorHAnsi"/>
          <w:sz w:val="22"/>
          <w:szCs w:val="22"/>
        </w:rPr>
        <w:tab/>
        <w:t xml:space="preserve">What happens to the size of the atom as you move across a period on the periodic table?  Try looking at the series of elements from lithium to fluorine first, </w:t>
      </w:r>
      <w:proofErr w:type="gramStart"/>
      <w:r w:rsidR="00FD425B" w:rsidRPr="009B2D77">
        <w:rPr>
          <w:rFonts w:asciiTheme="minorHAnsi" w:hAnsiTheme="minorHAnsi"/>
          <w:sz w:val="22"/>
          <w:szCs w:val="22"/>
        </w:rPr>
        <w:t>then</w:t>
      </w:r>
      <w:proofErr w:type="gramEnd"/>
      <w:r w:rsidR="00FD425B" w:rsidRPr="009B2D77">
        <w:rPr>
          <w:rFonts w:asciiTheme="minorHAnsi" w:hAnsiTheme="minorHAnsi"/>
          <w:sz w:val="22"/>
          <w:szCs w:val="22"/>
        </w:rPr>
        <w:t xml:space="preserve"> try other periods as well.</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1.13</w:t>
      </w:r>
      <w:r w:rsidR="00FD425B" w:rsidRPr="009B2D77">
        <w:rPr>
          <w:rFonts w:asciiTheme="minorHAnsi" w:hAnsiTheme="minorHAnsi"/>
          <w:sz w:val="22"/>
          <w:szCs w:val="22"/>
        </w:rPr>
        <w:tab/>
        <w:t>Make a general statement about the trend of changing atomic size as you move across the table from left to right and top to bottom.</w:t>
      </w:r>
      <w:r w:rsidR="00966416">
        <w:rPr>
          <w:rFonts w:asciiTheme="minorHAnsi" w:hAnsiTheme="minorHAnsi"/>
          <w:sz w:val="22"/>
          <w:szCs w:val="22"/>
        </w:rPr>
        <w:t xml:space="preserve">  In addition, explain why as you move from left to right the atom gets smaller and why when you move down a family the atom gets bigger.</w:t>
      </w:r>
    </w:p>
    <w:p w:rsidR="00FD425B" w:rsidRPr="009B2D77" w:rsidRDefault="00FD425B">
      <w:pPr>
        <w:ind w:left="720" w:hanging="720"/>
        <w:rPr>
          <w:rFonts w:asciiTheme="minorHAnsi" w:hAnsiTheme="minorHAnsi"/>
          <w:sz w:val="22"/>
          <w:szCs w:val="22"/>
        </w:rPr>
      </w:pPr>
    </w:p>
    <w:p w:rsidR="00E46D4A" w:rsidRDefault="00E46D4A">
      <w:pPr>
        <w:ind w:left="720" w:hanging="720"/>
        <w:rPr>
          <w:rFonts w:asciiTheme="minorHAnsi" w:hAnsiTheme="minorHAnsi"/>
          <w:sz w:val="22"/>
          <w:szCs w:val="22"/>
        </w:rPr>
      </w:pPr>
      <w:r>
        <w:rPr>
          <w:rFonts w:asciiTheme="minorHAnsi" w:hAnsiTheme="minorHAnsi"/>
          <w:sz w:val="22"/>
          <w:szCs w:val="22"/>
        </w:rPr>
        <w:t>1.14</w:t>
      </w:r>
      <w:r w:rsidR="00FD425B" w:rsidRPr="009B2D77">
        <w:rPr>
          <w:rFonts w:asciiTheme="minorHAnsi" w:hAnsiTheme="minorHAnsi"/>
          <w:sz w:val="22"/>
          <w:szCs w:val="22"/>
          <w:vertAlign w:val="superscript"/>
        </w:rPr>
        <w:t>*</w:t>
      </w:r>
      <w:r w:rsidR="00FD425B" w:rsidRPr="009B2D77">
        <w:rPr>
          <w:rFonts w:asciiTheme="minorHAnsi" w:hAnsiTheme="minorHAnsi"/>
          <w:sz w:val="22"/>
          <w:szCs w:val="22"/>
        </w:rPr>
        <w:tab/>
        <w:t xml:space="preserve">It is important to note here that the size of the noble gasses is anomalous.   </w:t>
      </w:r>
      <w:r w:rsidR="00987AAA" w:rsidRPr="009B2D77">
        <w:rPr>
          <w:rFonts w:asciiTheme="minorHAnsi" w:hAnsiTheme="minorHAnsi"/>
          <w:sz w:val="22"/>
          <w:szCs w:val="22"/>
        </w:rPr>
        <w:t>Research various sources to help you explain why.</w:t>
      </w:r>
    </w:p>
    <w:p w:rsidR="00E46D4A" w:rsidRDefault="00E46D4A">
      <w:pPr>
        <w:rPr>
          <w:rFonts w:asciiTheme="minorHAnsi" w:hAnsiTheme="minorHAnsi"/>
          <w:sz w:val="22"/>
          <w:szCs w:val="22"/>
        </w:rPr>
      </w:pPr>
      <w:r>
        <w:rPr>
          <w:rFonts w:asciiTheme="minorHAnsi" w:hAnsiTheme="minorHAnsi"/>
          <w:sz w:val="22"/>
          <w:szCs w:val="22"/>
        </w:rPr>
        <w:br w:type="page"/>
      </w:r>
    </w:p>
    <w:p w:rsidR="00E46D4A" w:rsidRDefault="00E46D4A">
      <w:pPr>
        <w:rPr>
          <w:rFonts w:asciiTheme="minorHAnsi" w:hAnsiTheme="minorHAnsi"/>
          <w:sz w:val="22"/>
          <w:szCs w:val="22"/>
        </w:rPr>
      </w:pPr>
    </w:p>
    <w:p w:rsidR="00FD425B" w:rsidRPr="009B2D77" w:rsidRDefault="00E46D4A">
      <w:pPr>
        <w:rPr>
          <w:rFonts w:asciiTheme="minorHAnsi" w:hAnsiTheme="minorHAnsi"/>
          <w:sz w:val="22"/>
          <w:szCs w:val="22"/>
        </w:rPr>
      </w:pPr>
      <w:r w:rsidRPr="009B2D77">
        <w:rPr>
          <w:rFonts w:asciiTheme="minorHAnsi" w:hAnsiTheme="minorHAnsi"/>
          <w:noProof/>
          <w:sz w:val="22"/>
          <w:szCs w:val="22"/>
          <w:lang w:val="en-CA" w:eastAsia="en-CA"/>
        </w:rPr>
        <w:drawing>
          <wp:anchor distT="0" distB="0" distL="114300" distR="114300" simplePos="0" relativeHeight="251657216" behindDoc="0" locked="0" layoutInCell="0" allowOverlap="1" wp14:anchorId="450030B2" wp14:editId="3358EB31">
            <wp:simplePos x="0" y="0"/>
            <wp:positionH relativeFrom="column">
              <wp:posOffset>5715</wp:posOffset>
            </wp:positionH>
            <wp:positionV relativeFrom="paragraph">
              <wp:posOffset>262255</wp:posOffset>
            </wp:positionV>
            <wp:extent cx="6542405" cy="4538980"/>
            <wp:effectExtent l="0" t="0" r="0" b="0"/>
            <wp:wrapTight wrapText="bothSides">
              <wp:wrapPolygon edited="0">
                <wp:start x="6667" y="1269"/>
                <wp:lineTo x="3774" y="2176"/>
                <wp:lineTo x="943" y="2810"/>
                <wp:lineTo x="943" y="3264"/>
                <wp:lineTo x="8554" y="4351"/>
                <wp:lineTo x="10755" y="4351"/>
                <wp:lineTo x="10755" y="7252"/>
                <wp:lineTo x="440" y="7706"/>
                <wp:lineTo x="503" y="13598"/>
                <wp:lineTo x="2138" y="14505"/>
                <wp:lineTo x="3208" y="14505"/>
                <wp:lineTo x="3208" y="15955"/>
                <wp:lineTo x="2138" y="16590"/>
                <wp:lineTo x="2138" y="16771"/>
                <wp:lineTo x="3208" y="17406"/>
                <wp:lineTo x="2327" y="17768"/>
                <wp:lineTo x="2327" y="18312"/>
                <wp:lineTo x="3208" y="18856"/>
                <wp:lineTo x="1195" y="18856"/>
                <wp:lineTo x="1195" y="19491"/>
                <wp:lineTo x="3208" y="20307"/>
                <wp:lineTo x="3208" y="21485"/>
                <wp:lineTo x="21447" y="21485"/>
                <wp:lineTo x="21510" y="20941"/>
                <wp:lineTo x="21510" y="7978"/>
                <wp:lineTo x="10692" y="7252"/>
                <wp:lineTo x="10692" y="4351"/>
                <wp:lineTo x="1635" y="2901"/>
                <wp:lineTo x="14969" y="2085"/>
                <wp:lineTo x="15220" y="1632"/>
                <wp:lineTo x="14591" y="1269"/>
                <wp:lineTo x="6667" y="1269"/>
              </wp:wrapPolygon>
            </wp:wrapTight>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D425B" w:rsidRPr="009B2D77">
        <w:rPr>
          <w:rFonts w:asciiTheme="minorHAnsi" w:hAnsiTheme="minorHAnsi"/>
          <w:sz w:val="22"/>
          <w:szCs w:val="22"/>
        </w:rPr>
        <w:t xml:space="preserve">The second trend we see is the size of the </w:t>
      </w:r>
      <w:r w:rsidR="00FD425B" w:rsidRPr="009B2D77">
        <w:rPr>
          <w:rFonts w:asciiTheme="minorHAnsi" w:hAnsiTheme="minorHAnsi"/>
          <w:b/>
          <w:sz w:val="22"/>
          <w:szCs w:val="22"/>
        </w:rPr>
        <w:t>ion</w:t>
      </w:r>
      <w:r w:rsidR="00FD425B" w:rsidRPr="009B2D77">
        <w:rPr>
          <w:rFonts w:asciiTheme="minorHAnsi" w:hAnsiTheme="minorHAnsi"/>
          <w:sz w:val="22"/>
          <w:szCs w:val="22"/>
        </w:rPr>
        <w:t xml:space="preserve">.  You will recall that an ion is an atom that has either gained or lost electrons and as a result carries a charge.  Use the </w:t>
      </w:r>
      <w:r w:rsidR="00784B37" w:rsidRPr="009B2D77">
        <w:rPr>
          <w:rFonts w:asciiTheme="minorHAnsi" w:hAnsiTheme="minorHAnsi"/>
          <w:sz w:val="22"/>
          <w:szCs w:val="22"/>
        </w:rPr>
        <w:t xml:space="preserve">following </w:t>
      </w:r>
      <w:r w:rsidR="00FD425B" w:rsidRPr="009B2D77">
        <w:rPr>
          <w:rFonts w:asciiTheme="minorHAnsi" w:hAnsiTheme="minorHAnsi"/>
          <w:sz w:val="22"/>
          <w:szCs w:val="22"/>
        </w:rPr>
        <w:t xml:space="preserve">chart </w:t>
      </w:r>
      <w:r w:rsidR="00784B37" w:rsidRPr="009B2D77">
        <w:rPr>
          <w:rFonts w:asciiTheme="minorHAnsi" w:hAnsiTheme="minorHAnsi"/>
          <w:sz w:val="22"/>
          <w:szCs w:val="22"/>
        </w:rPr>
        <w:t>to answer the questions that follow:</w:t>
      </w:r>
    </w:p>
    <w:p w:rsidR="00784B37" w:rsidRDefault="00784B37">
      <w:pPr>
        <w:rPr>
          <w:sz w:val="24"/>
        </w:rPr>
      </w:pPr>
    </w:p>
    <w:p w:rsidR="00FD425B" w:rsidRDefault="00FD425B">
      <w:pPr>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E46D4A" w:rsidRDefault="00E46D4A">
      <w:pPr>
        <w:ind w:left="720" w:hanging="720"/>
        <w:rPr>
          <w:rFonts w:asciiTheme="minorHAnsi" w:hAnsiTheme="minorHAnsi"/>
          <w:sz w:val="22"/>
          <w:szCs w:val="22"/>
        </w:rPr>
      </w:pPr>
    </w:p>
    <w:p w:rsidR="00E46D4A" w:rsidRDefault="00E46D4A">
      <w:pPr>
        <w:ind w:left="720" w:hanging="720"/>
        <w:rPr>
          <w:rFonts w:asciiTheme="minorHAnsi" w:hAnsiTheme="minorHAnsi"/>
          <w:sz w:val="22"/>
          <w:szCs w:val="22"/>
        </w:rPr>
      </w:pPr>
    </w:p>
    <w:p w:rsidR="00E46D4A" w:rsidRDefault="00E46D4A">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1.15</w:t>
      </w:r>
      <w:r w:rsidR="00FD425B" w:rsidRPr="009B2D77">
        <w:rPr>
          <w:rFonts w:asciiTheme="minorHAnsi" w:hAnsiTheme="minorHAnsi"/>
          <w:sz w:val="22"/>
          <w:szCs w:val="22"/>
        </w:rPr>
        <w:tab/>
        <w:t>From the elements 1 to 89 which has the largest ion?  Which has the smallest?</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1.16</w:t>
      </w:r>
      <w:r w:rsidR="00FD425B" w:rsidRPr="009B2D77">
        <w:rPr>
          <w:rFonts w:asciiTheme="minorHAnsi" w:hAnsiTheme="minorHAnsi"/>
          <w:sz w:val="22"/>
          <w:szCs w:val="22"/>
        </w:rPr>
        <w:tab/>
        <w:t>Generally, which family tends to have the largest ions?  Which has the smallest?</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1.17</w:t>
      </w:r>
      <w:r w:rsidR="00FD425B" w:rsidRPr="009B2D77">
        <w:rPr>
          <w:rFonts w:asciiTheme="minorHAnsi" w:hAnsiTheme="minorHAnsi"/>
          <w:sz w:val="22"/>
          <w:szCs w:val="22"/>
        </w:rPr>
        <w:tab/>
        <w:t>Make a general statement about the trend of changing ionic size as you move across the table from left to right and top to bottom.</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1.18</w:t>
      </w:r>
      <w:r w:rsidR="00FD425B" w:rsidRPr="009B2D77">
        <w:rPr>
          <w:rFonts w:asciiTheme="minorHAnsi" w:hAnsiTheme="minorHAnsi"/>
          <w:sz w:val="22"/>
          <w:szCs w:val="22"/>
        </w:rPr>
        <w:tab/>
        <w:t>Explain why the carbon 4+ ion is smaller than the lithium 1+ ion.</w:t>
      </w:r>
    </w:p>
    <w:p w:rsidR="00FD425B" w:rsidRPr="009B2D77" w:rsidRDefault="00FD425B">
      <w:pPr>
        <w:ind w:left="720" w:hanging="720"/>
        <w:rPr>
          <w:rFonts w:asciiTheme="minorHAnsi" w:hAnsiTheme="minorHAnsi"/>
          <w:sz w:val="22"/>
          <w:szCs w:val="22"/>
        </w:rPr>
      </w:pPr>
    </w:p>
    <w:p w:rsidR="00FD425B" w:rsidRPr="00982D8E" w:rsidRDefault="00E46D4A">
      <w:pPr>
        <w:ind w:left="720" w:hanging="720"/>
        <w:rPr>
          <w:rFonts w:asciiTheme="minorHAnsi" w:hAnsiTheme="minorHAnsi"/>
          <w:sz w:val="22"/>
          <w:szCs w:val="22"/>
        </w:rPr>
      </w:pPr>
      <w:r>
        <w:rPr>
          <w:rFonts w:asciiTheme="minorHAnsi" w:hAnsiTheme="minorHAnsi"/>
          <w:sz w:val="22"/>
          <w:szCs w:val="22"/>
        </w:rPr>
        <w:t>1.19</w:t>
      </w:r>
      <w:r w:rsidR="00FD425B" w:rsidRPr="009B2D77">
        <w:rPr>
          <w:rFonts w:asciiTheme="minorHAnsi" w:hAnsiTheme="minorHAnsi"/>
          <w:sz w:val="22"/>
          <w:szCs w:val="22"/>
        </w:rPr>
        <w:tab/>
      </w:r>
      <w:r w:rsidR="00982D8E">
        <w:rPr>
          <w:rFonts w:asciiTheme="minorHAnsi" w:hAnsiTheme="minorHAnsi"/>
          <w:sz w:val="22"/>
          <w:szCs w:val="22"/>
        </w:rPr>
        <w:t>The ions shown are the most common ions.  So, for example, the carbon ion is 4+, but the Nitrogen ion is 3-.  How does this explain why the N</w:t>
      </w:r>
      <w:r w:rsidR="00982D8E">
        <w:rPr>
          <w:rFonts w:asciiTheme="minorHAnsi" w:hAnsiTheme="minorHAnsi"/>
          <w:sz w:val="22"/>
          <w:szCs w:val="22"/>
          <w:vertAlign w:val="superscript"/>
        </w:rPr>
        <w:t>-3</w:t>
      </w:r>
      <w:r w:rsidR="00982D8E">
        <w:rPr>
          <w:rFonts w:asciiTheme="minorHAnsi" w:hAnsiTheme="minorHAnsi"/>
          <w:sz w:val="22"/>
          <w:szCs w:val="22"/>
        </w:rPr>
        <w:t xml:space="preserve"> ion is bigger than the C</w:t>
      </w:r>
      <w:r w:rsidR="00982D8E">
        <w:rPr>
          <w:rFonts w:asciiTheme="minorHAnsi" w:hAnsiTheme="minorHAnsi"/>
          <w:sz w:val="22"/>
          <w:szCs w:val="22"/>
          <w:vertAlign w:val="superscript"/>
        </w:rPr>
        <w:t>4+</w:t>
      </w:r>
      <w:r w:rsidR="00982D8E">
        <w:rPr>
          <w:rFonts w:asciiTheme="minorHAnsi" w:hAnsiTheme="minorHAnsi"/>
          <w:sz w:val="22"/>
          <w:szCs w:val="22"/>
        </w:rPr>
        <w:t>?</w:t>
      </w:r>
    </w:p>
    <w:p w:rsidR="00FD425B" w:rsidRDefault="00FD425B">
      <w:pPr>
        <w:ind w:left="720" w:hanging="720"/>
        <w:rPr>
          <w:sz w:val="24"/>
        </w:rPr>
      </w:pPr>
    </w:p>
    <w:p w:rsidR="00E46D4A" w:rsidRDefault="00E46D4A">
      <w:pPr>
        <w:rPr>
          <w:rFonts w:asciiTheme="minorHAnsi" w:hAnsiTheme="minorHAnsi"/>
          <w:sz w:val="22"/>
          <w:szCs w:val="22"/>
        </w:rPr>
      </w:pPr>
      <w:r>
        <w:rPr>
          <w:rFonts w:asciiTheme="minorHAnsi" w:hAnsiTheme="minorHAnsi"/>
          <w:sz w:val="22"/>
          <w:szCs w:val="22"/>
        </w:rPr>
        <w:br w:type="page"/>
      </w:r>
    </w:p>
    <w:p w:rsidR="00E46D4A" w:rsidRDefault="00E46D4A">
      <w:pPr>
        <w:rPr>
          <w:rFonts w:asciiTheme="minorHAnsi" w:hAnsiTheme="minorHAnsi"/>
          <w:sz w:val="22"/>
          <w:szCs w:val="22"/>
        </w:rPr>
      </w:pPr>
    </w:p>
    <w:p w:rsidR="00FD425B" w:rsidRPr="009B2D77" w:rsidRDefault="00FD425B">
      <w:pPr>
        <w:rPr>
          <w:rFonts w:asciiTheme="minorHAnsi" w:hAnsiTheme="minorHAnsi"/>
          <w:sz w:val="22"/>
          <w:szCs w:val="22"/>
        </w:rPr>
      </w:pPr>
      <w:r w:rsidRPr="009B2D77">
        <w:rPr>
          <w:rFonts w:asciiTheme="minorHAnsi" w:hAnsiTheme="minorHAnsi"/>
          <w:sz w:val="22"/>
          <w:szCs w:val="22"/>
        </w:rPr>
        <w:t xml:space="preserve">The third trend we see is </w:t>
      </w:r>
      <w:r w:rsidRPr="009B2D77">
        <w:rPr>
          <w:rFonts w:asciiTheme="minorHAnsi" w:hAnsiTheme="minorHAnsi"/>
          <w:b/>
          <w:sz w:val="22"/>
          <w:szCs w:val="22"/>
        </w:rPr>
        <w:t>ionization energy</w:t>
      </w:r>
      <w:r w:rsidRPr="009B2D77">
        <w:rPr>
          <w:rFonts w:asciiTheme="minorHAnsi" w:hAnsiTheme="minorHAnsi"/>
          <w:sz w:val="22"/>
          <w:szCs w:val="22"/>
        </w:rPr>
        <w:t xml:space="preserve">.  This is the amount of energy required to remove one electron from the atom of an element.  </w:t>
      </w:r>
    </w:p>
    <w:p w:rsidR="00FD425B" w:rsidRPr="009B2D77" w:rsidRDefault="002A3EF7">
      <w:pPr>
        <w:rPr>
          <w:rFonts w:asciiTheme="minorHAnsi" w:hAnsiTheme="minorHAnsi"/>
          <w:sz w:val="22"/>
          <w:szCs w:val="22"/>
        </w:rPr>
      </w:pPr>
      <w:r w:rsidRPr="009B2D77">
        <w:rPr>
          <w:rFonts w:asciiTheme="minorHAnsi" w:hAnsiTheme="minorHAnsi"/>
          <w:noProof/>
          <w:sz w:val="22"/>
          <w:szCs w:val="22"/>
          <w:lang w:val="en-CA" w:eastAsia="en-CA"/>
        </w:rPr>
        <w:drawing>
          <wp:anchor distT="0" distB="0" distL="114300" distR="114300" simplePos="0" relativeHeight="251656192" behindDoc="0" locked="0" layoutInCell="0" allowOverlap="1" wp14:anchorId="569D3B4E" wp14:editId="68F8F50D">
            <wp:simplePos x="0" y="0"/>
            <wp:positionH relativeFrom="column">
              <wp:posOffset>27305</wp:posOffset>
            </wp:positionH>
            <wp:positionV relativeFrom="paragraph">
              <wp:posOffset>50165</wp:posOffset>
            </wp:positionV>
            <wp:extent cx="6858000" cy="4572000"/>
            <wp:effectExtent l="0" t="0" r="0" b="0"/>
            <wp:wrapSquare wrapText="bothSides"/>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46D4A">
        <w:rPr>
          <w:rFonts w:asciiTheme="minorHAnsi" w:hAnsiTheme="minorHAnsi"/>
          <w:sz w:val="22"/>
          <w:szCs w:val="22"/>
        </w:rPr>
        <w:t>1.20</w:t>
      </w:r>
      <w:r w:rsidR="00FD425B" w:rsidRPr="009B2D77">
        <w:rPr>
          <w:rFonts w:asciiTheme="minorHAnsi" w:hAnsiTheme="minorHAnsi"/>
          <w:sz w:val="22"/>
          <w:szCs w:val="22"/>
        </w:rPr>
        <w:tab/>
        <w:t>Which element has the highest ionization energy?  Which has the lowest?</w:t>
      </w:r>
    </w:p>
    <w:p w:rsidR="00FD425B" w:rsidRPr="009B2D77" w:rsidRDefault="00FD425B">
      <w:pPr>
        <w:rPr>
          <w:rFonts w:asciiTheme="minorHAnsi" w:hAnsiTheme="minorHAnsi"/>
          <w:sz w:val="22"/>
          <w:szCs w:val="22"/>
        </w:rPr>
      </w:pPr>
    </w:p>
    <w:p w:rsidR="00FD425B" w:rsidRPr="009B2D77" w:rsidRDefault="00E46D4A">
      <w:pPr>
        <w:rPr>
          <w:rFonts w:asciiTheme="minorHAnsi" w:hAnsiTheme="minorHAnsi"/>
          <w:sz w:val="22"/>
          <w:szCs w:val="22"/>
        </w:rPr>
      </w:pPr>
      <w:r>
        <w:rPr>
          <w:rFonts w:asciiTheme="minorHAnsi" w:hAnsiTheme="minorHAnsi"/>
          <w:sz w:val="22"/>
          <w:szCs w:val="22"/>
        </w:rPr>
        <w:t>1.21</w:t>
      </w:r>
      <w:r w:rsidR="00FD425B" w:rsidRPr="009B2D77">
        <w:rPr>
          <w:rFonts w:asciiTheme="minorHAnsi" w:hAnsiTheme="minorHAnsi"/>
          <w:sz w:val="22"/>
          <w:szCs w:val="22"/>
        </w:rPr>
        <w:tab/>
        <w:t>Which family has elements with the highest ionization energy?  Explain why this is so.</w:t>
      </w:r>
    </w:p>
    <w:p w:rsidR="00FD425B" w:rsidRPr="009B2D77" w:rsidRDefault="00FD425B">
      <w:pPr>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1.22</w:t>
      </w:r>
      <w:r w:rsidR="00FD425B" w:rsidRPr="009B2D77">
        <w:rPr>
          <w:rFonts w:asciiTheme="minorHAnsi" w:hAnsiTheme="minorHAnsi"/>
          <w:sz w:val="22"/>
          <w:szCs w:val="22"/>
        </w:rPr>
        <w:tab/>
        <w:t>Make a general statement about the trend of changing ionization energy as you move across the table from left to right and top to bottom.</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1.23</w:t>
      </w:r>
      <w:r w:rsidR="00FD425B" w:rsidRPr="009B2D77">
        <w:rPr>
          <w:rFonts w:asciiTheme="minorHAnsi" w:hAnsiTheme="minorHAnsi"/>
          <w:sz w:val="22"/>
          <w:szCs w:val="22"/>
        </w:rPr>
        <w:tab/>
        <w:t xml:space="preserve">Explain what you would expect for the energy required to remove a </w:t>
      </w:r>
      <w:r w:rsidR="00FD425B" w:rsidRPr="009B2D77">
        <w:rPr>
          <w:rFonts w:asciiTheme="minorHAnsi" w:hAnsiTheme="minorHAnsi"/>
          <w:b/>
          <w:sz w:val="22"/>
          <w:szCs w:val="22"/>
        </w:rPr>
        <w:t xml:space="preserve">second </w:t>
      </w:r>
      <w:r w:rsidR="00FD425B" w:rsidRPr="009B2D77">
        <w:rPr>
          <w:rFonts w:asciiTheme="minorHAnsi" w:hAnsiTheme="minorHAnsi"/>
          <w:sz w:val="22"/>
          <w:szCs w:val="22"/>
        </w:rPr>
        <w:t xml:space="preserve">electron from the alkali metals.  </w:t>
      </w:r>
    </w:p>
    <w:p w:rsidR="00FD425B" w:rsidRPr="009B2D77" w:rsidRDefault="00FD425B">
      <w:pPr>
        <w:ind w:left="720" w:hanging="720"/>
        <w:rPr>
          <w:rFonts w:asciiTheme="minorHAnsi" w:hAnsiTheme="minorHAnsi"/>
          <w:sz w:val="22"/>
          <w:szCs w:val="22"/>
        </w:rPr>
      </w:pPr>
    </w:p>
    <w:p w:rsidR="00FD425B" w:rsidRPr="009B2D77" w:rsidRDefault="00E46D4A">
      <w:pPr>
        <w:ind w:left="720" w:hanging="720"/>
        <w:rPr>
          <w:rFonts w:asciiTheme="minorHAnsi" w:hAnsiTheme="minorHAnsi"/>
          <w:sz w:val="22"/>
          <w:szCs w:val="22"/>
        </w:rPr>
      </w:pPr>
      <w:r>
        <w:rPr>
          <w:rFonts w:asciiTheme="minorHAnsi" w:hAnsiTheme="minorHAnsi"/>
          <w:sz w:val="22"/>
          <w:szCs w:val="22"/>
        </w:rPr>
        <w:t>1.24</w:t>
      </w:r>
      <w:r w:rsidR="00FD425B" w:rsidRPr="009B2D77">
        <w:rPr>
          <w:rFonts w:asciiTheme="minorHAnsi" w:hAnsiTheme="minorHAnsi"/>
          <w:sz w:val="22"/>
          <w:szCs w:val="22"/>
        </w:rPr>
        <w:tab/>
        <w:t>The energy required to remove an electron from helium (e</w:t>
      </w:r>
      <w:r w:rsidR="00FD425B" w:rsidRPr="009B2D77">
        <w:rPr>
          <w:rFonts w:asciiTheme="minorHAnsi" w:hAnsiTheme="minorHAnsi"/>
          <w:sz w:val="22"/>
          <w:szCs w:val="22"/>
          <w:vertAlign w:val="superscript"/>
        </w:rPr>
        <w:t>-</w:t>
      </w:r>
      <w:r w:rsidR="00FD425B" w:rsidRPr="009B2D77">
        <w:rPr>
          <w:rFonts w:asciiTheme="minorHAnsi" w:hAnsiTheme="minorHAnsi"/>
          <w:sz w:val="22"/>
          <w:szCs w:val="22"/>
        </w:rPr>
        <w:t xml:space="preserve"> configuration 1s</w:t>
      </w:r>
      <w:r w:rsidR="00FD425B" w:rsidRPr="009B2D77">
        <w:rPr>
          <w:rFonts w:asciiTheme="minorHAnsi" w:hAnsiTheme="minorHAnsi"/>
          <w:sz w:val="22"/>
          <w:szCs w:val="22"/>
          <w:vertAlign w:val="superscript"/>
        </w:rPr>
        <w:t>2</w:t>
      </w:r>
      <w:r w:rsidR="00FD425B" w:rsidRPr="009B2D77">
        <w:rPr>
          <w:rFonts w:asciiTheme="minorHAnsi" w:hAnsiTheme="minorHAnsi"/>
          <w:sz w:val="22"/>
          <w:szCs w:val="22"/>
        </w:rPr>
        <w:t xml:space="preserve">) is 2 372 KJ/mol.  The energy required to remove an electron from a </w:t>
      </w:r>
      <w:proofErr w:type="gramStart"/>
      <w:r w:rsidR="00FD425B" w:rsidRPr="009B2D77">
        <w:rPr>
          <w:rFonts w:asciiTheme="minorHAnsi" w:hAnsiTheme="minorHAnsi"/>
          <w:sz w:val="22"/>
          <w:szCs w:val="22"/>
        </w:rPr>
        <w:t>Li  1</w:t>
      </w:r>
      <w:proofErr w:type="gramEnd"/>
      <w:r w:rsidR="00FD425B" w:rsidRPr="009B2D77">
        <w:rPr>
          <w:rFonts w:asciiTheme="minorHAnsi" w:hAnsiTheme="minorHAnsi"/>
          <w:sz w:val="22"/>
          <w:szCs w:val="22"/>
        </w:rPr>
        <w:t>+ ion (e</w:t>
      </w:r>
      <w:r w:rsidR="00FD425B" w:rsidRPr="009B2D77">
        <w:rPr>
          <w:rFonts w:asciiTheme="minorHAnsi" w:hAnsiTheme="minorHAnsi"/>
          <w:sz w:val="22"/>
          <w:szCs w:val="22"/>
          <w:vertAlign w:val="superscript"/>
        </w:rPr>
        <w:t>-</w:t>
      </w:r>
      <w:r w:rsidR="00FD425B" w:rsidRPr="009B2D77">
        <w:rPr>
          <w:rFonts w:asciiTheme="minorHAnsi" w:hAnsiTheme="minorHAnsi"/>
          <w:sz w:val="22"/>
          <w:szCs w:val="22"/>
        </w:rPr>
        <w:t xml:space="preserve"> configuration 1s</w:t>
      </w:r>
      <w:r w:rsidR="00FD425B" w:rsidRPr="009B2D77">
        <w:rPr>
          <w:rFonts w:asciiTheme="minorHAnsi" w:hAnsiTheme="minorHAnsi"/>
          <w:sz w:val="22"/>
          <w:szCs w:val="22"/>
          <w:vertAlign w:val="superscript"/>
        </w:rPr>
        <w:t>2</w:t>
      </w:r>
      <w:r w:rsidR="00FD425B" w:rsidRPr="009B2D77">
        <w:rPr>
          <w:rFonts w:asciiTheme="minorHAnsi" w:hAnsiTheme="minorHAnsi"/>
          <w:sz w:val="22"/>
          <w:szCs w:val="22"/>
        </w:rPr>
        <w:t>) is 7 285 KJ/mol.  Explain why these are so different.</w:t>
      </w:r>
    </w:p>
    <w:p w:rsidR="00FD425B" w:rsidRDefault="00FD425B">
      <w:pPr>
        <w:ind w:left="720" w:hanging="720"/>
        <w:rPr>
          <w:sz w:val="24"/>
        </w:rPr>
      </w:pPr>
    </w:p>
    <w:p w:rsidR="00014954" w:rsidRDefault="00014954">
      <w:pPr>
        <w:ind w:left="720" w:hanging="720"/>
        <w:rPr>
          <w:sz w:val="24"/>
        </w:rPr>
      </w:pPr>
    </w:p>
    <w:p w:rsidR="00014954" w:rsidRDefault="00014954">
      <w:pPr>
        <w:ind w:left="720" w:hanging="720"/>
        <w:rPr>
          <w:sz w:val="24"/>
        </w:rPr>
      </w:pPr>
    </w:p>
    <w:p w:rsidR="00014954" w:rsidRDefault="00014954">
      <w:pPr>
        <w:ind w:left="720" w:hanging="720"/>
        <w:rPr>
          <w:sz w:val="24"/>
        </w:rPr>
      </w:pPr>
    </w:p>
    <w:p w:rsidR="009B2D77" w:rsidRDefault="009B2D77">
      <w:pPr>
        <w:rPr>
          <w:sz w:val="24"/>
        </w:rPr>
      </w:pPr>
      <w:r>
        <w:rPr>
          <w:sz w:val="24"/>
        </w:rPr>
        <w:br w:type="page"/>
      </w:r>
    </w:p>
    <w:p w:rsidR="00FD425B" w:rsidRDefault="00FD425B">
      <w:pPr>
        <w:rPr>
          <w:sz w:val="24"/>
        </w:rPr>
      </w:pPr>
    </w:p>
    <w:p w:rsidR="00FD425B" w:rsidRDefault="00FD425B">
      <w:pPr>
        <w:rPr>
          <w:sz w:val="24"/>
        </w:rPr>
      </w:pPr>
      <w:r w:rsidRPr="004B113D">
        <w:rPr>
          <w:rFonts w:asciiTheme="minorHAnsi" w:hAnsiTheme="minorHAnsi"/>
          <w:sz w:val="22"/>
        </w:rPr>
        <w:t xml:space="preserve">The fourth trend is one that in many ways explains some of the other trends.  It is </w:t>
      </w:r>
      <w:r w:rsidRPr="004B113D">
        <w:rPr>
          <w:rFonts w:asciiTheme="minorHAnsi" w:hAnsiTheme="minorHAnsi"/>
          <w:b/>
          <w:sz w:val="22"/>
        </w:rPr>
        <w:t>electronegativity</w:t>
      </w:r>
      <w:r w:rsidR="004B113D">
        <w:rPr>
          <w:rFonts w:asciiTheme="minorHAnsi" w:hAnsiTheme="minorHAnsi"/>
          <w:sz w:val="22"/>
        </w:rPr>
        <w:t>.  Electro</w:t>
      </w:r>
      <w:r w:rsidRPr="004B113D">
        <w:rPr>
          <w:rFonts w:asciiTheme="minorHAnsi" w:hAnsiTheme="minorHAnsi"/>
          <w:sz w:val="22"/>
        </w:rPr>
        <w:t>negativity (sometimes given the Greek character,</w:t>
      </w:r>
      <w:r>
        <w:rPr>
          <w:sz w:val="24"/>
        </w:rPr>
        <w:t xml:space="preserve"> </w:t>
      </w:r>
      <w:r>
        <w:rPr>
          <w:rFonts w:ascii="Symbol" w:hAnsi="Symbol"/>
          <w:sz w:val="24"/>
        </w:rPr>
        <w:t></w:t>
      </w:r>
      <w:r w:rsidRPr="004B113D">
        <w:rPr>
          <w:rFonts w:asciiTheme="minorHAnsi" w:hAnsiTheme="minorHAnsi"/>
          <w:sz w:val="22"/>
        </w:rPr>
        <w:t xml:space="preserve">) is a measure of the ability of an atom in a molecule to attract electrons to </w:t>
      </w:r>
      <w:proofErr w:type="gramStart"/>
      <w:r w:rsidRPr="004B113D">
        <w:rPr>
          <w:rFonts w:asciiTheme="minorHAnsi" w:hAnsiTheme="minorHAnsi"/>
          <w:sz w:val="22"/>
        </w:rPr>
        <w:t>itself</w:t>
      </w:r>
      <w:proofErr w:type="gramEnd"/>
      <w:r w:rsidRPr="004B113D">
        <w:rPr>
          <w:rFonts w:asciiTheme="minorHAnsi" w:hAnsiTheme="minorHAnsi"/>
          <w:sz w:val="22"/>
        </w:rPr>
        <w:t xml:space="preserve">.   Electronegativity will be further discussed during the chemical bonding unit later in the course. </w:t>
      </w:r>
      <w:r>
        <w:rPr>
          <w:sz w:val="24"/>
        </w:rPr>
        <w:t xml:space="preserve"> </w:t>
      </w:r>
    </w:p>
    <w:p w:rsidR="00FD425B" w:rsidRDefault="002A3EF7">
      <w:pPr>
        <w:rPr>
          <w:sz w:val="24"/>
        </w:rPr>
      </w:pPr>
      <w:r>
        <w:rPr>
          <w:noProof/>
          <w:sz w:val="24"/>
          <w:lang w:val="en-CA" w:eastAsia="en-CA"/>
        </w:rPr>
        <w:drawing>
          <wp:anchor distT="0" distB="0" distL="114300" distR="114300" simplePos="0" relativeHeight="251658240" behindDoc="0" locked="0" layoutInCell="0" allowOverlap="1">
            <wp:simplePos x="0" y="0"/>
            <wp:positionH relativeFrom="column">
              <wp:posOffset>33020</wp:posOffset>
            </wp:positionH>
            <wp:positionV relativeFrom="paragraph">
              <wp:posOffset>64770</wp:posOffset>
            </wp:positionV>
            <wp:extent cx="6858000" cy="4251325"/>
            <wp:effectExtent l="0" t="0" r="0" b="0"/>
            <wp:wrapTopAndBottom/>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D425B">
        <w:rPr>
          <w:sz w:val="24"/>
        </w:rPr>
        <w:t xml:space="preserve"> </w:t>
      </w:r>
    </w:p>
    <w:p w:rsidR="00FD425B" w:rsidRPr="004B113D" w:rsidRDefault="00E46D4A">
      <w:pPr>
        <w:ind w:left="720" w:hanging="720"/>
        <w:rPr>
          <w:rFonts w:asciiTheme="minorHAnsi" w:hAnsiTheme="minorHAnsi"/>
          <w:sz w:val="22"/>
          <w:szCs w:val="22"/>
        </w:rPr>
      </w:pPr>
      <w:r>
        <w:rPr>
          <w:rFonts w:asciiTheme="minorHAnsi" w:hAnsiTheme="minorHAnsi"/>
          <w:sz w:val="22"/>
          <w:szCs w:val="22"/>
        </w:rPr>
        <w:t>1.25</w:t>
      </w:r>
      <w:r w:rsidR="00FD425B" w:rsidRPr="004B113D">
        <w:rPr>
          <w:rFonts w:asciiTheme="minorHAnsi" w:hAnsiTheme="minorHAnsi"/>
          <w:sz w:val="22"/>
          <w:szCs w:val="22"/>
        </w:rPr>
        <w:tab/>
        <w:t>Which element has the greatest electronegativity?  Which has the lowest (not including the noble gases)?</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1.26</w:t>
      </w:r>
      <w:r w:rsidR="00FD425B" w:rsidRPr="004B113D">
        <w:rPr>
          <w:rFonts w:asciiTheme="minorHAnsi" w:hAnsiTheme="minorHAnsi"/>
          <w:sz w:val="22"/>
          <w:szCs w:val="22"/>
        </w:rPr>
        <w:tab/>
        <w:t xml:space="preserve">Using the definition of electronegativity, why are the noble gases </w:t>
      </w:r>
      <w:r w:rsidR="00FD425B" w:rsidRPr="004B113D">
        <w:rPr>
          <w:rFonts w:asciiTheme="minorHAnsi" w:hAnsiTheme="minorHAnsi"/>
          <w:sz w:val="22"/>
          <w:szCs w:val="22"/>
          <w:u w:val="single"/>
        </w:rPr>
        <w:t>assigned</w:t>
      </w:r>
      <w:r w:rsidR="00FD425B" w:rsidRPr="004B113D">
        <w:rPr>
          <w:rFonts w:asciiTheme="minorHAnsi" w:hAnsiTheme="minorHAnsi"/>
          <w:sz w:val="22"/>
          <w:szCs w:val="22"/>
        </w:rPr>
        <w:t xml:space="preserve"> a value of 0?</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1.27</w:t>
      </w:r>
      <w:r w:rsidR="00FD425B" w:rsidRPr="004B113D">
        <w:rPr>
          <w:rFonts w:asciiTheme="minorHAnsi" w:hAnsiTheme="minorHAnsi"/>
          <w:sz w:val="22"/>
          <w:szCs w:val="22"/>
        </w:rPr>
        <w:tab/>
        <w:t xml:space="preserve">Since the noble gases are assigned zero, which family has the lowest </w:t>
      </w:r>
      <w:proofErr w:type="spellStart"/>
      <w:r w:rsidR="00FD425B" w:rsidRPr="004B113D">
        <w:rPr>
          <w:rFonts w:asciiTheme="minorHAnsi" w:hAnsiTheme="minorHAnsi"/>
          <w:sz w:val="22"/>
          <w:szCs w:val="22"/>
        </w:rPr>
        <w:t>electronegativities</w:t>
      </w:r>
      <w:proofErr w:type="spellEnd"/>
      <w:r w:rsidR="00FD425B" w:rsidRPr="004B113D">
        <w:rPr>
          <w:rFonts w:asciiTheme="minorHAnsi" w:hAnsiTheme="minorHAnsi"/>
          <w:sz w:val="22"/>
          <w:szCs w:val="22"/>
        </w:rPr>
        <w:t xml:space="preserve"> that are not assigned?</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1.28</w:t>
      </w:r>
      <w:r w:rsidR="00FD425B" w:rsidRPr="004B113D">
        <w:rPr>
          <w:rFonts w:asciiTheme="minorHAnsi" w:hAnsiTheme="minorHAnsi"/>
          <w:sz w:val="22"/>
          <w:szCs w:val="22"/>
        </w:rPr>
        <w:tab/>
        <w:t>Make a general statement about the trend of changing electronegativity as you move across the table from left to right and top to bottom.</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1.29</w:t>
      </w:r>
      <w:r w:rsidR="00FD425B" w:rsidRPr="004B113D">
        <w:rPr>
          <w:rFonts w:asciiTheme="minorHAnsi" w:hAnsiTheme="minorHAnsi"/>
          <w:sz w:val="22"/>
          <w:szCs w:val="22"/>
        </w:rPr>
        <w:tab/>
        <w:t xml:space="preserve">Comment on the statement that electronegativity trends can </w:t>
      </w:r>
      <w:proofErr w:type="gramStart"/>
      <w:r w:rsidR="00FD425B" w:rsidRPr="004B113D">
        <w:rPr>
          <w:rFonts w:asciiTheme="minorHAnsi" w:hAnsiTheme="minorHAnsi"/>
          <w:sz w:val="22"/>
          <w:szCs w:val="22"/>
        </w:rPr>
        <w:t>explain  other</w:t>
      </w:r>
      <w:proofErr w:type="gramEnd"/>
      <w:r w:rsidR="00FD425B" w:rsidRPr="004B113D">
        <w:rPr>
          <w:rFonts w:asciiTheme="minorHAnsi" w:hAnsiTheme="minorHAnsi"/>
          <w:sz w:val="22"/>
          <w:szCs w:val="22"/>
        </w:rPr>
        <w:t xml:space="preserve"> trends.  How is electronegativity related to the size of an element?  How is it related to the ionization energy?</w:t>
      </w:r>
    </w:p>
    <w:p w:rsidR="00FD425B" w:rsidRPr="004B113D" w:rsidRDefault="00FD425B">
      <w:pPr>
        <w:ind w:left="720" w:hanging="720"/>
        <w:rPr>
          <w:rFonts w:asciiTheme="minorHAnsi" w:hAnsiTheme="minorHAnsi"/>
          <w:sz w:val="22"/>
          <w:szCs w:val="22"/>
        </w:rPr>
      </w:pPr>
    </w:p>
    <w:p w:rsidR="00FD425B" w:rsidRPr="004B113D" w:rsidRDefault="00E46D4A" w:rsidP="001A3D5F">
      <w:pPr>
        <w:ind w:left="720" w:hanging="720"/>
        <w:rPr>
          <w:rFonts w:asciiTheme="minorHAnsi" w:hAnsiTheme="minorHAnsi"/>
          <w:sz w:val="22"/>
          <w:szCs w:val="22"/>
        </w:rPr>
      </w:pPr>
      <w:r>
        <w:rPr>
          <w:rFonts w:asciiTheme="minorHAnsi" w:hAnsiTheme="minorHAnsi"/>
          <w:sz w:val="22"/>
          <w:szCs w:val="22"/>
        </w:rPr>
        <w:t>1.30</w:t>
      </w:r>
      <w:r w:rsidR="00FD425B" w:rsidRPr="004B113D">
        <w:rPr>
          <w:rFonts w:asciiTheme="minorHAnsi" w:hAnsiTheme="minorHAnsi"/>
          <w:sz w:val="22"/>
          <w:szCs w:val="22"/>
        </w:rPr>
        <w:tab/>
        <w:t>Electronegativity is sometimes equated with degree metallic character.  Comment on this statement.</w:t>
      </w:r>
    </w:p>
    <w:p w:rsidR="00FD425B" w:rsidRDefault="00FD425B">
      <w:pPr>
        <w:ind w:left="720" w:hanging="720"/>
        <w:rPr>
          <w:sz w:val="24"/>
        </w:rPr>
      </w:pPr>
    </w:p>
    <w:p w:rsidR="00FD425B" w:rsidRDefault="00FD425B">
      <w:pPr>
        <w:rPr>
          <w:sz w:val="24"/>
        </w:rPr>
      </w:pPr>
    </w:p>
    <w:p w:rsidR="004453B4" w:rsidRDefault="004453B4">
      <w:pPr>
        <w:rPr>
          <w:sz w:val="24"/>
        </w:rPr>
      </w:pPr>
    </w:p>
    <w:p w:rsidR="004453B4" w:rsidRDefault="004453B4">
      <w:pPr>
        <w:rPr>
          <w:sz w:val="24"/>
        </w:rPr>
      </w:pPr>
    </w:p>
    <w:p w:rsidR="004453B4" w:rsidRDefault="004453B4">
      <w:pPr>
        <w:rPr>
          <w:sz w:val="24"/>
        </w:rPr>
      </w:pPr>
    </w:p>
    <w:p w:rsidR="004453B4" w:rsidRDefault="004453B4">
      <w:pPr>
        <w:rPr>
          <w:sz w:val="24"/>
        </w:rPr>
      </w:pPr>
    </w:p>
    <w:p w:rsidR="004453B4" w:rsidRDefault="004453B4">
      <w:pPr>
        <w:rPr>
          <w:sz w:val="24"/>
        </w:rPr>
      </w:pPr>
    </w:p>
    <w:p w:rsidR="00E46D4A" w:rsidRDefault="00E46D4A">
      <w:pPr>
        <w:rPr>
          <w:rFonts w:asciiTheme="minorHAnsi" w:hAnsiTheme="minorHAnsi"/>
          <w:sz w:val="22"/>
          <w:szCs w:val="22"/>
        </w:rPr>
      </w:pPr>
    </w:p>
    <w:p w:rsidR="00E46D4A" w:rsidRDefault="00E46D4A">
      <w:pPr>
        <w:rPr>
          <w:rFonts w:asciiTheme="minorHAnsi" w:hAnsiTheme="minorHAnsi"/>
          <w:sz w:val="22"/>
          <w:szCs w:val="22"/>
        </w:rPr>
      </w:pPr>
    </w:p>
    <w:p w:rsidR="00FD425B" w:rsidRPr="004B113D" w:rsidRDefault="00FD425B">
      <w:pPr>
        <w:rPr>
          <w:rFonts w:asciiTheme="minorHAnsi" w:hAnsiTheme="minorHAnsi"/>
          <w:sz w:val="22"/>
          <w:szCs w:val="22"/>
        </w:rPr>
      </w:pPr>
      <w:r w:rsidRPr="004B113D">
        <w:rPr>
          <w:rFonts w:asciiTheme="minorHAnsi" w:hAnsiTheme="minorHAnsi"/>
          <w:sz w:val="22"/>
          <w:szCs w:val="22"/>
        </w:rPr>
        <w:t>The last trend to look a</w:t>
      </w:r>
      <w:r w:rsidR="004453B4" w:rsidRPr="004B113D">
        <w:rPr>
          <w:rFonts w:asciiTheme="minorHAnsi" w:hAnsiTheme="minorHAnsi"/>
          <w:sz w:val="22"/>
          <w:szCs w:val="22"/>
        </w:rPr>
        <w:t xml:space="preserve">t is melting and boiling point.  </w:t>
      </w:r>
      <w:r w:rsidRPr="004B113D">
        <w:rPr>
          <w:rFonts w:asciiTheme="minorHAnsi" w:hAnsiTheme="minorHAnsi"/>
          <w:sz w:val="22"/>
          <w:szCs w:val="22"/>
        </w:rPr>
        <w:t>Although the trends are less obvious for these two properties, some generalities can be seen.</w:t>
      </w:r>
    </w:p>
    <w:p w:rsidR="004453B4" w:rsidRDefault="002A3EF7">
      <w:pPr>
        <w:rPr>
          <w:sz w:val="24"/>
        </w:rPr>
      </w:pPr>
      <w:r>
        <w:rPr>
          <w:noProof/>
          <w:sz w:val="24"/>
          <w:lang w:val="en-CA" w:eastAsia="en-CA"/>
        </w:rPr>
        <w:drawing>
          <wp:anchor distT="0" distB="0" distL="114300" distR="114300" simplePos="0" relativeHeight="251659264" behindDoc="1" locked="1" layoutInCell="0" allowOverlap="1">
            <wp:simplePos x="0" y="0"/>
            <wp:positionH relativeFrom="column">
              <wp:posOffset>-38100</wp:posOffset>
            </wp:positionH>
            <wp:positionV relativeFrom="page">
              <wp:posOffset>1215390</wp:posOffset>
            </wp:positionV>
            <wp:extent cx="7040880" cy="3588385"/>
            <wp:effectExtent l="0" t="0" r="7620" b="0"/>
            <wp:wrapTight wrapText="bothSides">
              <wp:wrapPolygon edited="0">
                <wp:start x="6545" y="229"/>
                <wp:lineTo x="1227" y="1835"/>
                <wp:lineTo x="1110" y="5963"/>
                <wp:lineTo x="351" y="6078"/>
                <wp:lineTo x="234" y="6307"/>
                <wp:lineTo x="292" y="10206"/>
                <wp:lineTo x="877" y="11467"/>
                <wp:lineTo x="1169" y="11467"/>
                <wp:lineTo x="1344" y="16627"/>
                <wp:lineTo x="1812" y="16971"/>
                <wp:lineTo x="1169" y="17545"/>
                <wp:lineTo x="1169" y="19609"/>
                <wp:lineTo x="2338" y="20641"/>
                <wp:lineTo x="3273" y="20641"/>
                <wp:lineTo x="3273" y="21443"/>
                <wp:lineTo x="21214" y="21443"/>
                <wp:lineTo x="21565" y="21443"/>
                <wp:lineTo x="21565" y="21329"/>
                <wp:lineTo x="21214" y="20641"/>
                <wp:lineTo x="21565" y="20641"/>
                <wp:lineTo x="21565" y="18921"/>
                <wp:lineTo x="21214" y="18806"/>
                <wp:lineTo x="21565" y="18233"/>
                <wp:lineTo x="21565" y="17430"/>
                <wp:lineTo x="21214" y="16971"/>
                <wp:lineTo x="21565" y="16742"/>
                <wp:lineTo x="21565" y="15824"/>
                <wp:lineTo x="21214" y="15136"/>
                <wp:lineTo x="21565" y="15136"/>
                <wp:lineTo x="21565" y="13302"/>
                <wp:lineTo x="21214" y="13302"/>
                <wp:lineTo x="21565" y="12614"/>
                <wp:lineTo x="21565" y="11811"/>
                <wp:lineTo x="21214" y="11467"/>
                <wp:lineTo x="21565" y="11008"/>
                <wp:lineTo x="21565" y="10206"/>
                <wp:lineTo x="21214" y="9632"/>
                <wp:lineTo x="21565" y="9518"/>
                <wp:lineTo x="21331" y="8371"/>
                <wp:lineTo x="11571" y="7798"/>
                <wp:lineTo x="18701" y="7683"/>
                <wp:lineTo x="18584" y="7110"/>
                <wp:lineTo x="1929" y="5963"/>
                <wp:lineTo x="18468" y="5389"/>
                <wp:lineTo x="18584" y="4357"/>
                <wp:lineTo x="18000" y="3784"/>
                <wp:lineTo x="18000" y="3325"/>
                <wp:lineTo x="10812" y="2293"/>
                <wp:lineTo x="12974" y="1032"/>
                <wp:lineTo x="13149" y="573"/>
                <wp:lineTo x="12682" y="229"/>
                <wp:lineTo x="6545" y="229"/>
              </wp:wrapPolygon>
            </wp:wrapTight>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D425B" w:rsidRDefault="00FD425B">
      <w:pPr>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4453B4">
      <w:pPr>
        <w:ind w:left="720" w:hanging="720"/>
        <w:rPr>
          <w:sz w:val="24"/>
        </w:rPr>
      </w:pPr>
    </w:p>
    <w:p w:rsidR="004453B4" w:rsidRDefault="00062CC8">
      <w:pPr>
        <w:ind w:left="720" w:hanging="720"/>
        <w:rPr>
          <w:sz w:val="24"/>
        </w:rPr>
      </w:pPr>
      <w:r>
        <w:rPr>
          <w:noProof/>
          <w:sz w:val="24"/>
          <w:lang w:val="en-CA" w:eastAsia="en-CA"/>
        </w:rPr>
        <w:drawing>
          <wp:anchor distT="0" distB="0" distL="114300" distR="114300" simplePos="0" relativeHeight="251660288" behindDoc="0" locked="0" layoutInCell="0" allowOverlap="1" wp14:anchorId="464FEB06" wp14:editId="02F82F22">
            <wp:simplePos x="0" y="0"/>
            <wp:positionH relativeFrom="column">
              <wp:posOffset>20955</wp:posOffset>
            </wp:positionH>
            <wp:positionV relativeFrom="paragraph">
              <wp:posOffset>753110</wp:posOffset>
            </wp:positionV>
            <wp:extent cx="6949440" cy="3227070"/>
            <wp:effectExtent l="0" t="0" r="0" b="0"/>
            <wp:wrapTopAndBottom/>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62CC8" w:rsidRDefault="00062CC8">
      <w:pPr>
        <w:ind w:left="720" w:hanging="720"/>
        <w:rPr>
          <w:rFonts w:asciiTheme="minorHAnsi" w:hAnsiTheme="minorHAnsi"/>
          <w:sz w:val="22"/>
          <w:szCs w:val="22"/>
        </w:rPr>
      </w:pPr>
    </w:p>
    <w:p w:rsidR="00062CC8" w:rsidRDefault="00062CC8">
      <w:pPr>
        <w:ind w:left="720" w:hanging="720"/>
        <w:rPr>
          <w:rFonts w:asciiTheme="minorHAnsi" w:hAnsiTheme="minorHAnsi"/>
          <w:sz w:val="22"/>
          <w:szCs w:val="22"/>
        </w:rPr>
      </w:pPr>
    </w:p>
    <w:p w:rsidR="00062CC8" w:rsidRDefault="00062CC8">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1.31</w:t>
      </w:r>
      <w:r w:rsidR="00FD425B" w:rsidRPr="004B113D">
        <w:rPr>
          <w:rFonts w:asciiTheme="minorHAnsi" w:hAnsiTheme="minorHAnsi"/>
          <w:sz w:val="22"/>
          <w:szCs w:val="22"/>
        </w:rPr>
        <w:tab/>
        <w:t xml:space="preserve">Which family tends to have the highest melting points?  Which has the lowest? </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1.32</w:t>
      </w:r>
      <w:r w:rsidR="00FD425B" w:rsidRPr="004B113D">
        <w:rPr>
          <w:rFonts w:asciiTheme="minorHAnsi" w:hAnsiTheme="minorHAnsi"/>
          <w:sz w:val="22"/>
          <w:szCs w:val="22"/>
        </w:rPr>
        <w:tab/>
        <w:t>Which family tends to have the highest boiling points?  Which has the lowest?</w:t>
      </w:r>
    </w:p>
    <w:p w:rsidR="00FD425B" w:rsidRPr="004B113D" w:rsidRDefault="00FD425B">
      <w:pPr>
        <w:ind w:left="720" w:hanging="720"/>
        <w:rPr>
          <w:rFonts w:asciiTheme="minorHAnsi" w:hAnsiTheme="minorHAnsi"/>
          <w:sz w:val="22"/>
          <w:szCs w:val="22"/>
        </w:rPr>
      </w:pPr>
    </w:p>
    <w:p w:rsidR="00FD425B" w:rsidRPr="004B113D" w:rsidRDefault="00E46D4A">
      <w:pPr>
        <w:ind w:left="720" w:hanging="720"/>
        <w:rPr>
          <w:rFonts w:asciiTheme="minorHAnsi" w:hAnsiTheme="minorHAnsi"/>
          <w:sz w:val="22"/>
          <w:szCs w:val="22"/>
        </w:rPr>
      </w:pPr>
      <w:r>
        <w:rPr>
          <w:rFonts w:asciiTheme="minorHAnsi" w:hAnsiTheme="minorHAnsi"/>
          <w:sz w:val="22"/>
          <w:szCs w:val="22"/>
        </w:rPr>
        <w:t>1.33</w:t>
      </w:r>
      <w:r w:rsidR="00F6275A">
        <w:rPr>
          <w:rFonts w:asciiTheme="minorHAnsi" w:hAnsiTheme="minorHAnsi"/>
          <w:sz w:val="22"/>
          <w:szCs w:val="22"/>
        </w:rPr>
        <w:tab/>
        <w:t xml:space="preserve">Try to make some kind of </w:t>
      </w:r>
      <w:r w:rsidR="00FD425B" w:rsidRPr="004B113D">
        <w:rPr>
          <w:rFonts w:asciiTheme="minorHAnsi" w:hAnsiTheme="minorHAnsi"/>
          <w:sz w:val="22"/>
          <w:szCs w:val="22"/>
        </w:rPr>
        <w:t>general statement about the trend of melting point as you move across the table from left to right and top to bottom.  Again, look for trends as opposed to the exceptions.</w:t>
      </w:r>
    </w:p>
    <w:sectPr w:rsidR="00FD425B" w:rsidRPr="004B113D">
      <w:headerReference w:type="default" r:id="rId13"/>
      <w:pgSz w:w="12240" w:h="15840"/>
      <w:pgMar w:top="720" w:right="720" w:bottom="73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01" w:rsidRDefault="002C1201">
      <w:r>
        <w:separator/>
      </w:r>
    </w:p>
  </w:endnote>
  <w:endnote w:type="continuationSeparator" w:id="0">
    <w:p w:rsidR="002C1201" w:rsidRDefault="002C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nvisi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01" w:rsidRDefault="002C1201">
      <w:r>
        <w:separator/>
      </w:r>
    </w:p>
  </w:footnote>
  <w:footnote w:type="continuationSeparator" w:id="0">
    <w:p w:rsidR="002C1201" w:rsidRDefault="002C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5B" w:rsidRDefault="00D16633">
    <w:pPr>
      <w:pStyle w:val="Header"/>
      <w:tabs>
        <w:tab w:val="clear" w:pos="8640"/>
        <w:tab w:val="right" w:pos="10620"/>
      </w:tabs>
      <w:rPr>
        <w:rFonts w:ascii="Tahoma" w:hAnsi="Tahoma"/>
      </w:rPr>
    </w:pPr>
    <w:r>
      <w:rPr>
        <w:rFonts w:ascii="Tahoma" w:hAnsi="Tahoma"/>
      </w:rPr>
      <w:t>Chemistry 11 Enriched</w:t>
    </w:r>
    <w:r w:rsidR="00FD425B">
      <w:rPr>
        <w:rFonts w:ascii="Tahoma" w:hAnsi="Tahoma"/>
      </w:rPr>
      <w:tab/>
    </w:r>
    <w:r w:rsidR="00FD425B">
      <w:rPr>
        <w:rFonts w:ascii="Tahoma" w:hAnsi="Tahoma"/>
      </w:rPr>
      <w:tab/>
    </w:r>
    <w:r w:rsidR="00F6275A">
      <w:rPr>
        <w:rFonts w:ascii="Tahoma" w:hAnsi="Tahoma"/>
      </w:rPr>
      <w:t>Unit VII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5B"/>
    <w:rsid w:val="00014954"/>
    <w:rsid w:val="00062CC8"/>
    <w:rsid w:val="000D3EEB"/>
    <w:rsid w:val="00101033"/>
    <w:rsid w:val="001A3D5F"/>
    <w:rsid w:val="001E46EB"/>
    <w:rsid w:val="002A3EF7"/>
    <w:rsid w:val="002C1201"/>
    <w:rsid w:val="00361295"/>
    <w:rsid w:val="00367710"/>
    <w:rsid w:val="004453B4"/>
    <w:rsid w:val="004B113D"/>
    <w:rsid w:val="005A343C"/>
    <w:rsid w:val="00753687"/>
    <w:rsid w:val="00784B37"/>
    <w:rsid w:val="00966416"/>
    <w:rsid w:val="00982D8E"/>
    <w:rsid w:val="00987AAA"/>
    <w:rsid w:val="009B2D77"/>
    <w:rsid w:val="009F61FB"/>
    <w:rsid w:val="00C0396D"/>
    <w:rsid w:val="00C05630"/>
    <w:rsid w:val="00C63A09"/>
    <w:rsid w:val="00D16633"/>
    <w:rsid w:val="00D3501B"/>
    <w:rsid w:val="00E46D4A"/>
    <w:rsid w:val="00E570A4"/>
    <w:rsid w:val="00EC3776"/>
    <w:rsid w:val="00F6275A"/>
    <w:rsid w:val="00FD0A14"/>
    <w:rsid w:val="00FD2FBA"/>
    <w:rsid w:val="00FD4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Envision" w:hAnsi="Envision"/>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Envision" w:hAnsi="Envision"/>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0" b="0" i="0" u="none" strike="noStrike" baseline="0">
                <a:solidFill>
                  <a:srgbClr val="000000"/>
                </a:solidFill>
                <a:latin typeface="Times New Roman"/>
                <a:ea typeface="Times New Roman"/>
                <a:cs typeface="Times New Roman"/>
              </a:defRPr>
            </a:pPr>
            <a:r>
              <a:rPr lang="en-CA"/>
              <a:t>Atomic number versus Atomic radius</a:t>
            </a:r>
          </a:p>
        </c:rich>
      </c:tx>
      <c:layout>
        <c:manualLayout>
          <c:xMode val="edge"/>
          <c:yMode val="edge"/>
          <c:x val="0.28745837957824638"/>
          <c:y val="7.5040783034257749E-2"/>
        </c:manualLayout>
      </c:layout>
      <c:overlay val="0"/>
      <c:spPr>
        <a:noFill/>
        <a:ln w="15381">
          <a:noFill/>
        </a:ln>
      </c:spPr>
    </c:title>
    <c:autoTitleDeleted val="0"/>
    <c:plotArea>
      <c:layout>
        <c:manualLayout>
          <c:layoutTarget val="inner"/>
          <c:xMode val="edge"/>
          <c:yMode val="edge"/>
          <c:x val="8.4350721420643732E-2"/>
          <c:y val="0.15171288743882544"/>
          <c:w val="0.89567147613762488"/>
          <c:h val="0.73246329526916798"/>
        </c:manualLayout>
      </c:layout>
      <c:lineChart>
        <c:grouping val="standard"/>
        <c:varyColors val="0"/>
        <c:ser>
          <c:idx val="0"/>
          <c:order val="0"/>
          <c:spPr>
            <a:ln w="7691">
              <a:solidFill>
                <a:srgbClr val="000080"/>
              </a:solidFill>
              <a:prstDash val="solid"/>
            </a:ln>
          </c:spPr>
          <c:marker>
            <c:symbol val="diamond"/>
            <c:size val="3"/>
            <c:spPr>
              <a:solidFill>
                <a:srgbClr val="000080"/>
              </a:solidFill>
              <a:ln>
                <a:solidFill>
                  <a:srgbClr val="000080"/>
                </a:solidFill>
                <a:prstDash val="solid"/>
              </a:ln>
            </c:spPr>
          </c:marker>
          <c:val>
            <c:numRef>
              <c:f>Data!$B$2:$B$90</c:f>
              <c:numCache>
                <c:formatCode>General</c:formatCode>
                <c:ptCount val="89"/>
                <c:pt idx="0">
                  <c:v>0.37</c:v>
                </c:pt>
                <c:pt idx="1">
                  <c:v>1.22</c:v>
                </c:pt>
                <c:pt idx="2">
                  <c:v>1.52</c:v>
                </c:pt>
                <c:pt idx="3">
                  <c:v>1.1100000000000001</c:v>
                </c:pt>
                <c:pt idx="4">
                  <c:v>0.88</c:v>
                </c:pt>
                <c:pt idx="5">
                  <c:v>0.77</c:v>
                </c:pt>
                <c:pt idx="6">
                  <c:v>0.7</c:v>
                </c:pt>
                <c:pt idx="7">
                  <c:v>0.66</c:v>
                </c:pt>
                <c:pt idx="8">
                  <c:v>0.64</c:v>
                </c:pt>
                <c:pt idx="9">
                  <c:v>1.31</c:v>
                </c:pt>
                <c:pt idx="10">
                  <c:v>1.86</c:v>
                </c:pt>
                <c:pt idx="11">
                  <c:v>1.6</c:v>
                </c:pt>
                <c:pt idx="12">
                  <c:v>1.43</c:v>
                </c:pt>
                <c:pt idx="13">
                  <c:v>1.17</c:v>
                </c:pt>
                <c:pt idx="14">
                  <c:v>1.1000000000000001</c:v>
                </c:pt>
                <c:pt idx="15">
                  <c:v>1.04</c:v>
                </c:pt>
                <c:pt idx="16">
                  <c:v>0.99</c:v>
                </c:pt>
                <c:pt idx="17">
                  <c:v>1.74</c:v>
                </c:pt>
                <c:pt idx="18">
                  <c:v>2.31</c:v>
                </c:pt>
                <c:pt idx="19">
                  <c:v>1.97</c:v>
                </c:pt>
                <c:pt idx="20">
                  <c:v>1.44</c:v>
                </c:pt>
                <c:pt idx="21">
                  <c:v>1.32</c:v>
                </c:pt>
                <c:pt idx="22">
                  <c:v>1.22</c:v>
                </c:pt>
                <c:pt idx="23">
                  <c:v>1.17</c:v>
                </c:pt>
                <c:pt idx="24">
                  <c:v>1.17</c:v>
                </c:pt>
                <c:pt idx="25">
                  <c:v>1.17</c:v>
                </c:pt>
                <c:pt idx="26">
                  <c:v>1.1599999999999999</c:v>
                </c:pt>
                <c:pt idx="27">
                  <c:v>1.1499999999999999</c:v>
                </c:pt>
                <c:pt idx="28">
                  <c:v>1.17</c:v>
                </c:pt>
                <c:pt idx="29">
                  <c:v>1.25</c:v>
                </c:pt>
                <c:pt idx="30">
                  <c:v>1.22</c:v>
                </c:pt>
                <c:pt idx="31">
                  <c:v>1.22</c:v>
                </c:pt>
                <c:pt idx="32">
                  <c:v>1.21</c:v>
                </c:pt>
                <c:pt idx="33">
                  <c:v>1.1599999999999999</c:v>
                </c:pt>
                <c:pt idx="34">
                  <c:v>1.1499999999999999</c:v>
                </c:pt>
                <c:pt idx="35">
                  <c:v>1.89</c:v>
                </c:pt>
                <c:pt idx="36">
                  <c:v>2.44</c:v>
                </c:pt>
                <c:pt idx="37">
                  <c:v>2.15</c:v>
                </c:pt>
                <c:pt idx="38">
                  <c:v>1.62</c:v>
                </c:pt>
                <c:pt idx="39">
                  <c:v>1.45</c:v>
                </c:pt>
                <c:pt idx="40">
                  <c:v>1.34</c:v>
                </c:pt>
                <c:pt idx="41">
                  <c:v>1.29</c:v>
                </c:pt>
                <c:pt idx="42">
                  <c:v>1.29</c:v>
                </c:pt>
                <c:pt idx="43">
                  <c:v>1.24</c:v>
                </c:pt>
                <c:pt idx="44">
                  <c:v>1.25</c:v>
                </c:pt>
                <c:pt idx="45">
                  <c:v>1.28</c:v>
                </c:pt>
                <c:pt idx="46">
                  <c:v>1.44</c:v>
                </c:pt>
                <c:pt idx="47">
                  <c:v>1.41</c:v>
                </c:pt>
                <c:pt idx="48">
                  <c:v>1.62</c:v>
                </c:pt>
                <c:pt idx="49">
                  <c:v>1.4</c:v>
                </c:pt>
                <c:pt idx="50">
                  <c:v>1.41</c:v>
                </c:pt>
                <c:pt idx="51">
                  <c:v>1.37</c:v>
                </c:pt>
                <c:pt idx="52">
                  <c:v>1.33</c:v>
                </c:pt>
                <c:pt idx="53">
                  <c:v>2.09</c:v>
                </c:pt>
                <c:pt idx="54">
                  <c:v>2.62</c:v>
                </c:pt>
                <c:pt idx="55">
                  <c:v>2.17</c:v>
                </c:pt>
                <c:pt idx="56">
                  <c:v>1.69</c:v>
                </c:pt>
                <c:pt idx="57">
                  <c:v>1.65</c:v>
                </c:pt>
                <c:pt idx="58">
                  <c:v>1.65</c:v>
                </c:pt>
                <c:pt idx="59">
                  <c:v>1.64</c:v>
                </c:pt>
                <c:pt idx="60">
                  <c:v>1.81</c:v>
                </c:pt>
                <c:pt idx="61">
                  <c:v>1.66</c:v>
                </c:pt>
                <c:pt idx="62">
                  <c:v>1.85</c:v>
                </c:pt>
                <c:pt idx="63">
                  <c:v>1.61</c:v>
                </c:pt>
                <c:pt idx="64">
                  <c:v>1.59</c:v>
                </c:pt>
                <c:pt idx="65">
                  <c:v>1.59</c:v>
                </c:pt>
                <c:pt idx="66">
                  <c:v>1.58</c:v>
                </c:pt>
                <c:pt idx="67">
                  <c:v>1.57</c:v>
                </c:pt>
                <c:pt idx="68">
                  <c:v>1.56</c:v>
                </c:pt>
                <c:pt idx="69">
                  <c:v>1.7</c:v>
                </c:pt>
                <c:pt idx="70">
                  <c:v>1.56</c:v>
                </c:pt>
                <c:pt idx="71">
                  <c:v>1.44</c:v>
                </c:pt>
                <c:pt idx="72">
                  <c:v>1.34</c:v>
                </c:pt>
                <c:pt idx="73">
                  <c:v>1.3</c:v>
                </c:pt>
                <c:pt idx="74">
                  <c:v>1.28</c:v>
                </c:pt>
                <c:pt idx="75">
                  <c:v>1.26</c:v>
                </c:pt>
                <c:pt idx="76">
                  <c:v>1.26</c:v>
                </c:pt>
                <c:pt idx="77">
                  <c:v>1.29</c:v>
                </c:pt>
                <c:pt idx="78">
                  <c:v>1.44</c:v>
                </c:pt>
                <c:pt idx="79">
                  <c:v>1.44</c:v>
                </c:pt>
                <c:pt idx="80">
                  <c:v>1.71</c:v>
                </c:pt>
                <c:pt idx="81">
                  <c:v>1.75</c:v>
                </c:pt>
                <c:pt idx="82">
                  <c:v>1.46</c:v>
                </c:pt>
                <c:pt idx="83">
                  <c:v>1.4</c:v>
                </c:pt>
                <c:pt idx="84">
                  <c:v>1.4</c:v>
                </c:pt>
                <c:pt idx="85">
                  <c:v>2.14</c:v>
                </c:pt>
                <c:pt idx="86">
                  <c:v>2.7</c:v>
                </c:pt>
                <c:pt idx="87">
                  <c:v>2.2000000000000002</c:v>
                </c:pt>
                <c:pt idx="88">
                  <c:v>2</c:v>
                </c:pt>
              </c:numCache>
            </c:numRef>
          </c:val>
          <c:smooth val="0"/>
        </c:ser>
        <c:dLbls>
          <c:showLegendKey val="0"/>
          <c:showVal val="0"/>
          <c:showCatName val="0"/>
          <c:showSerName val="0"/>
          <c:showPercent val="0"/>
          <c:showBubbleSize val="0"/>
        </c:dLbls>
        <c:marker val="1"/>
        <c:smooth val="0"/>
        <c:axId val="53579776"/>
        <c:axId val="50191680"/>
      </c:lineChart>
      <c:catAx>
        <c:axId val="53579776"/>
        <c:scaling>
          <c:orientation val="minMax"/>
        </c:scaling>
        <c:delete val="0"/>
        <c:axPos val="b"/>
        <c:majorGridlines>
          <c:spPr>
            <a:ln w="1923">
              <a:solidFill>
                <a:srgbClr val="000000"/>
              </a:solidFill>
              <a:prstDash val="solid"/>
            </a:ln>
          </c:spPr>
        </c:majorGridlines>
        <c:title>
          <c:tx>
            <c:rich>
              <a:bodyPr/>
              <a:lstStyle/>
              <a:p>
                <a:pPr>
                  <a:defRPr sz="727"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7391786903440619"/>
              <c:y val="0.93311582381729197"/>
            </c:manualLayout>
          </c:layout>
          <c:overlay val="0"/>
          <c:spPr>
            <a:noFill/>
            <a:ln w="15381">
              <a:noFill/>
            </a:ln>
          </c:spPr>
        </c:title>
        <c:numFmt formatCode="0" sourceLinked="0"/>
        <c:majorTickMark val="cross"/>
        <c:minorTickMark val="none"/>
        <c:tickLblPos val="low"/>
        <c:spPr>
          <a:ln w="1923">
            <a:solidFill>
              <a:srgbClr val="000000"/>
            </a:solidFill>
            <a:prstDash val="solid"/>
          </a:ln>
        </c:spPr>
        <c:txPr>
          <a:bodyPr rot="0" vert="horz"/>
          <a:lstStyle/>
          <a:p>
            <a:pPr>
              <a:defRPr sz="606" b="0" i="0" u="none" strike="noStrike" baseline="0">
                <a:solidFill>
                  <a:srgbClr val="000000"/>
                </a:solidFill>
                <a:latin typeface="Times New Roman"/>
                <a:ea typeface="Times New Roman"/>
                <a:cs typeface="Times New Roman"/>
              </a:defRPr>
            </a:pPr>
            <a:endParaRPr lang="en-US"/>
          </a:p>
        </c:txPr>
        <c:crossAx val="50191680"/>
        <c:crosses val="autoZero"/>
        <c:auto val="0"/>
        <c:lblAlgn val="ctr"/>
        <c:lblOffset val="100"/>
        <c:tickLblSkip val="2"/>
        <c:tickMarkSkip val="2"/>
        <c:noMultiLvlLbl val="0"/>
      </c:catAx>
      <c:valAx>
        <c:axId val="50191680"/>
        <c:scaling>
          <c:orientation val="minMax"/>
        </c:scaling>
        <c:delete val="0"/>
        <c:axPos val="r"/>
        <c:majorGridlines>
          <c:spPr>
            <a:ln w="1923">
              <a:solidFill>
                <a:srgbClr val="000000"/>
              </a:solidFill>
              <a:prstDash val="solid"/>
            </a:ln>
          </c:spPr>
        </c:majorGridlines>
        <c:title>
          <c:tx>
            <c:rich>
              <a:bodyPr/>
              <a:lstStyle/>
              <a:p>
                <a:pPr>
                  <a:defRPr sz="727" b="0" i="0" u="none" strike="noStrike" baseline="0">
                    <a:solidFill>
                      <a:srgbClr val="000000"/>
                    </a:solidFill>
                    <a:latin typeface="Times New Roman"/>
                    <a:ea typeface="Times New Roman"/>
                    <a:cs typeface="Times New Roman"/>
                  </a:defRPr>
                </a:pPr>
                <a:r>
                  <a:rPr lang="en-CA"/>
                  <a:t>Atomic Radius (Angstroms)</a:t>
                </a:r>
              </a:p>
            </c:rich>
          </c:tx>
          <c:layout>
            <c:manualLayout>
              <c:xMode val="edge"/>
              <c:yMode val="edge"/>
              <c:x val="2.1087680355160933E-2"/>
              <c:y val="0.37846655791190864"/>
            </c:manualLayout>
          </c:layout>
          <c:overlay val="0"/>
          <c:spPr>
            <a:noFill/>
            <a:ln w="15381">
              <a:noFill/>
            </a:ln>
          </c:spPr>
        </c:title>
        <c:numFmt formatCode="General" sourceLinked="1"/>
        <c:majorTickMark val="out"/>
        <c:minorTickMark val="none"/>
        <c:tickLblPos val="low"/>
        <c:spPr>
          <a:ln w="1923">
            <a:solidFill>
              <a:srgbClr val="000000"/>
            </a:solidFill>
            <a:prstDash val="solid"/>
          </a:ln>
        </c:spPr>
        <c:txPr>
          <a:bodyPr rot="0" vert="horz"/>
          <a:lstStyle/>
          <a:p>
            <a:pPr>
              <a:defRPr sz="727" b="0" i="0" u="none" strike="noStrike" baseline="0">
                <a:solidFill>
                  <a:srgbClr val="000000"/>
                </a:solidFill>
                <a:latin typeface="Times New Roman"/>
                <a:ea typeface="Times New Roman"/>
                <a:cs typeface="Times New Roman"/>
              </a:defRPr>
            </a:pPr>
            <a:endParaRPr lang="en-US"/>
          </a:p>
        </c:txPr>
        <c:crossAx val="53579776"/>
        <c:crosses val="max"/>
        <c:crossBetween val="midCat"/>
        <c:majorUnit val="0.2"/>
      </c:valAx>
      <c:spPr>
        <a:solidFill>
          <a:srgbClr val="FFFFFF"/>
        </a:solidFill>
        <a:ln w="7691">
          <a:solidFill>
            <a:srgbClr val="808080"/>
          </a:solidFill>
          <a:prstDash val="solid"/>
        </a:ln>
      </c:spPr>
    </c:plotArea>
    <c:plotVisOnly val="1"/>
    <c:dispBlanksAs val="gap"/>
    <c:showDLblsOverMax val="0"/>
  </c:chart>
  <c:spPr>
    <a:solidFill>
      <a:srgbClr val="FFFFFF"/>
    </a:solidFill>
    <a:ln>
      <a:noFill/>
    </a:ln>
  </c:spPr>
  <c:txPr>
    <a:bodyPr/>
    <a:lstStyle/>
    <a:p>
      <a:pPr>
        <a:defRPr sz="727"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48" b="0" i="0" u="none" strike="noStrike" baseline="0">
                <a:solidFill>
                  <a:srgbClr val="000000"/>
                </a:solidFill>
                <a:latin typeface="Times New Roman"/>
                <a:ea typeface="Times New Roman"/>
                <a:cs typeface="Times New Roman"/>
              </a:defRPr>
            </a:pPr>
            <a:r>
              <a:rPr lang="en-CA"/>
              <a:t>Atomic number versus Ionic Radius</a:t>
            </a:r>
          </a:p>
        </c:rich>
      </c:tx>
      <c:layout>
        <c:manualLayout>
          <c:xMode val="edge"/>
          <c:yMode val="edge"/>
          <c:x val="0.30839002267573695"/>
          <c:y val="5.9504132231404959E-2"/>
        </c:manualLayout>
      </c:layout>
      <c:overlay val="0"/>
      <c:spPr>
        <a:noFill/>
        <a:ln w="19559">
          <a:noFill/>
        </a:ln>
      </c:spPr>
    </c:title>
    <c:autoTitleDeleted val="0"/>
    <c:plotArea>
      <c:layout>
        <c:manualLayout>
          <c:layoutTarget val="inner"/>
          <c:xMode val="edge"/>
          <c:yMode val="edge"/>
          <c:x val="8.6167800453514742E-2"/>
          <c:y val="0.14545454545454545"/>
          <c:w val="0.89569160997732422"/>
          <c:h val="0.740495867768595"/>
        </c:manualLayout>
      </c:layout>
      <c:lineChart>
        <c:grouping val="standard"/>
        <c:varyColors val="0"/>
        <c:ser>
          <c:idx val="1"/>
          <c:order val="0"/>
          <c:spPr>
            <a:ln w="9779">
              <a:solidFill>
                <a:srgbClr val="000000"/>
              </a:solidFill>
              <a:prstDash val="solid"/>
            </a:ln>
          </c:spPr>
          <c:marker>
            <c:symbol val="square"/>
            <c:size val="3"/>
            <c:spPr>
              <a:solidFill>
                <a:srgbClr val="000000"/>
              </a:solidFill>
              <a:ln>
                <a:solidFill>
                  <a:srgbClr val="000000"/>
                </a:solidFill>
                <a:prstDash val="solid"/>
              </a:ln>
            </c:spPr>
          </c:marker>
          <c:cat>
            <c:numRef>
              <c:f>Data!$A$2:$A$90</c:f>
              <c:numCache>
                <c:formatCode>General</c:formatCode>
                <c:ptCount val="8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numCache>
            </c:numRef>
          </c:cat>
          <c:val>
            <c:numRef>
              <c:f>Data!$C$2:$C$90</c:f>
              <c:numCache>
                <c:formatCode>General</c:formatCode>
                <c:ptCount val="89"/>
                <c:pt idx="1">
                  <c:v>0.20799999999999999</c:v>
                </c:pt>
                <c:pt idx="2">
                  <c:v>0.06</c:v>
                </c:pt>
                <c:pt idx="3">
                  <c:v>3.1E-2</c:v>
                </c:pt>
                <c:pt idx="4">
                  <c:v>0.02</c:v>
                </c:pt>
                <c:pt idx="5">
                  <c:v>1.4999999999999999E-2</c:v>
                </c:pt>
                <c:pt idx="6">
                  <c:v>0.17100000000000001</c:v>
                </c:pt>
                <c:pt idx="7">
                  <c:v>0.14000000000000001</c:v>
                </c:pt>
                <c:pt idx="8">
                  <c:v>0.13600000000000001</c:v>
                </c:pt>
                <c:pt idx="10">
                  <c:v>9.5000000000000001E-2</c:v>
                </c:pt>
                <c:pt idx="11">
                  <c:v>6.5000000000000002E-2</c:v>
                </c:pt>
                <c:pt idx="12">
                  <c:v>0.05</c:v>
                </c:pt>
                <c:pt idx="13">
                  <c:v>4.1000000000000002E-2</c:v>
                </c:pt>
                <c:pt idx="14">
                  <c:v>0.21199999999999999</c:v>
                </c:pt>
                <c:pt idx="15">
                  <c:v>0.184</c:v>
                </c:pt>
                <c:pt idx="16">
                  <c:v>0.18099999999999999</c:v>
                </c:pt>
                <c:pt idx="18">
                  <c:v>0.13300000000000001</c:v>
                </c:pt>
                <c:pt idx="19">
                  <c:v>9.9000000000000005E-2</c:v>
                </c:pt>
                <c:pt idx="20">
                  <c:v>8.1000000000000003E-2</c:v>
                </c:pt>
                <c:pt idx="21">
                  <c:v>6.4000000000000001E-2</c:v>
                </c:pt>
                <c:pt idx="22">
                  <c:v>0.04</c:v>
                </c:pt>
                <c:pt idx="23">
                  <c:v>5.1999999999999998E-2</c:v>
                </c:pt>
                <c:pt idx="24">
                  <c:v>0.08</c:v>
                </c:pt>
                <c:pt idx="25">
                  <c:v>7.4999999999999997E-2</c:v>
                </c:pt>
                <c:pt idx="26">
                  <c:v>7.1999999999999995E-2</c:v>
                </c:pt>
                <c:pt idx="27">
                  <c:v>7.0000000000000007E-2</c:v>
                </c:pt>
                <c:pt idx="28">
                  <c:v>9.6000000000000002E-2</c:v>
                </c:pt>
                <c:pt idx="29">
                  <c:v>7.3999999999999996E-2</c:v>
                </c:pt>
                <c:pt idx="30">
                  <c:v>6.2E-2</c:v>
                </c:pt>
                <c:pt idx="31">
                  <c:v>5.2999999999999999E-2</c:v>
                </c:pt>
                <c:pt idx="32">
                  <c:v>0.222</c:v>
                </c:pt>
                <c:pt idx="33">
                  <c:v>0.19800000000000001</c:v>
                </c:pt>
                <c:pt idx="34">
                  <c:v>0.19500000000000001</c:v>
                </c:pt>
                <c:pt idx="36">
                  <c:v>0.14799999999999999</c:v>
                </c:pt>
                <c:pt idx="37">
                  <c:v>0.113</c:v>
                </c:pt>
                <c:pt idx="38">
                  <c:v>9.2999999999999999E-2</c:v>
                </c:pt>
                <c:pt idx="39">
                  <c:v>8.6999999999999994E-2</c:v>
                </c:pt>
                <c:pt idx="40">
                  <c:v>6.9000000000000006E-2</c:v>
                </c:pt>
                <c:pt idx="41">
                  <c:v>6.2E-2</c:v>
                </c:pt>
                <c:pt idx="45">
                  <c:v>0.05</c:v>
                </c:pt>
                <c:pt idx="46">
                  <c:v>0.126</c:v>
                </c:pt>
                <c:pt idx="47">
                  <c:v>9.7000000000000003E-2</c:v>
                </c:pt>
                <c:pt idx="48">
                  <c:v>8.1000000000000003E-2</c:v>
                </c:pt>
                <c:pt idx="49">
                  <c:v>7.0999999999999994E-2</c:v>
                </c:pt>
                <c:pt idx="50">
                  <c:v>6.2E-2</c:v>
                </c:pt>
                <c:pt idx="51">
                  <c:v>0.221</c:v>
                </c:pt>
                <c:pt idx="52">
                  <c:v>0.216</c:v>
                </c:pt>
                <c:pt idx="54">
                  <c:v>0.16900000000000001</c:v>
                </c:pt>
                <c:pt idx="55">
                  <c:v>0.13500000000000001</c:v>
                </c:pt>
                <c:pt idx="56">
                  <c:v>0.115</c:v>
                </c:pt>
                <c:pt idx="71">
                  <c:v>8.4000000000000005E-2</c:v>
                </c:pt>
                <c:pt idx="72">
                  <c:v>6.8000000000000005E-2</c:v>
                </c:pt>
                <c:pt idx="73">
                  <c:v>6.8000000000000005E-2</c:v>
                </c:pt>
                <c:pt idx="77">
                  <c:v>5.1999999999999998E-2</c:v>
                </c:pt>
                <c:pt idx="78">
                  <c:v>0.13700000000000001</c:v>
                </c:pt>
                <c:pt idx="79">
                  <c:v>0.11</c:v>
                </c:pt>
                <c:pt idx="80">
                  <c:v>9.5000000000000001E-2</c:v>
                </c:pt>
                <c:pt idx="81">
                  <c:v>8.4000000000000005E-2</c:v>
                </c:pt>
                <c:pt idx="82">
                  <c:v>7.3999999999999996E-2</c:v>
                </c:pt>
                <c:pt idx="86">
                  <c:v>0.17599999999999999</c:v>
                </c:pt>
                <c:pt idx="87">
                  <c:v>0.152</c:v>
                </c:pt>
                <c:pt idx="88">
                  <c:v>0.111</c:v>
                </c:pt>
              </c:numCache>
            </c:numRef>
          </c:val>
          <c:smooth val="0"/>
        </c:ser>
        <c:dLbls>
          <c:showLegendKey val="0"/>
          <c:showVal val="0"/>
          <c:showCatName val="0"/>
          <c:showSerName val="0"/>
          <c:showPercent val="0"/>
          <c:showBubbleSize val="0"/>
        </c:dLbls>
        <c:marker val="1"/>
        <c:smooth val="0"/>
        <c:axId val="145861632"/>
        <c:axId val="106357888"/>
      </c:lineChart>
      <c:catAx>
        <c:axId val="145861632"/>
        <c:scaling>
          <c:orientation val="minMax"/>
        </c:scaling>
        <c:delete val="0"/>
        <c:axPos val="b"/>
        <c:majorGridlines>
          <c:spPr>
            <a:ln w="2445">
              <a:solidFill>
                <a:srgbClr val="000000"/>
              </a:solidFill>
              <a:prstDash val="solid"/>
            </a:ln>
          </c:spPr>
        </c:majorGridlines>
        <c:title>
          <c:tx>
            <c:rich>
              <a:bodyPr/>
              <a:lstStyle/>
              <a:p>
                <a:pPr>
                  <a:defRPr sz="905"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7505668934240364"/>
              <c:y val="0.93553719008264458"/>
            </c:manualLayout>
          </c:layout>
          <c:overlay val="0"/>
          <c:spPr>
            <a:noFill/>
            <a:ln w="19559">
              <a:noFill/>
            </a:ln>
          </c:spPr>
        </c:title>
        <c:numFmt formatCode="General" sourceLinked="1"/>
        <c:majorTickMark val="out"/>
        <c:minorTickMark val="none"/>
        <c:tickLblPos val="nextTo"/>
        <c:spPr>
          <a:ln w="2445">
            <a:solidFill>
              <a:srgbClr val="000000"/>
            </a:solidFill>
            <a:prstDash val="solid"/>
          </a:ln>
        </c:spPr>
        <c:txPr>
          <a:bodyPr rot="0" vert="horz"/>
          <a:lstStyle/>
          <a:p>
            <a:pPr>
              <a:defRPr sz="751" b="0" i="0" u="none" strike="noStrike" baseline="0">
                <a:solidFill>
                  <a:srgbClr val="000000"/>
                </a:solidFill>
                <a:latin typeface="Times New Roman"/>
                <a:ea typeface="Times New Roman"/>
                <a:cs typeface="Times New Roman"/>
              </a:defRPr>
            </a:pPr>
            <a:endParaRPr lang="en-US"/>
          </a:p>
        </c:txPr>
        <c:crossAx val="106357888"/>
        <c:crosses val="autoZero"/>
        <c:auto val="1"/>
        <c:lblAlgn val="ctr"/>
        <c:lblOffset val="100"/>
        <c:tickLblSkip val="2"/>
        <c:tickMarkSkip val="2"/>
        <c:noMultiLvlLbl val="0"/>
      </c:catAx>
      <c:valAx>
        <c:axId val="106357888"/>
        <c:scaling>
          <c:orientation val="minMax"/>
        </c:scaling>
        <c:delete val="0"/>
        <c:axPos val="r"/>
        <c:majorGridlines>
          <c:spPr>
            <a:ln w="2445">
              <a:solidFill>
                <a:srgbClr val="000000"/>
              </a:solidFill>
              <a:prstDash val="solid"/>
            </a:ln>
          </c:spPr>
        </c:majorGridlines>
        <c:minorGridlines>
          <c:spPr>
            <a:ln w="2445">
              <a:solidFill>
                <a:srgbClr val="000000"/>
              </a:solidFill>
              <a:prstDash val="solid"/>
            </a:ln>
          </c:spPr>
        </c:minorGridlines>
        <c:title>
          <c:tx>
            <c:rich>
              <a:bodyPr/>
              <a:lstStyle/>
              <a:p>
                <a:pPr>
                  <a:defRPr sz="905" b="0" i="0" u="none" strike="noStrike" baseline="0">
                    <a:solidFill>
                      <a:srgbClr val="000000"/>
                    </a:solidFill>
                    <a:latin typeface="Times New Roman"/>
                    <a:ea typeface="Times New Roman"/>
                    <a:cs typeface="Times New Roman"/>
                  </a:defRPr>
                </a:pPr>
                <a:r>
                  <a:rPr lang="en-CA"/>
                  <a:t>Ionic Radius (Angstroms)</a:t>
                </a:r>
              </a:p>
            </c:rich>
          </c:tx>
          <c:layout>
            <c:manualLayout>
              <c:xMode val="edge"/>
              <c:yMode val="edge"/>
              <c:x val="1.927437641723356E-2"/>
              <c:y val="0.35371900826446279"/>
            </c:manualLayout>
          </c:layout>
          <c:overlay val="0"/>
          <c:spPr>
            <a:noFill/>
            <a:ln w="19559">
              <a:noFill/>
            </a:ln>
          </c:spPr>
        </c:title>
        <c:numFmt formatCode="General" sourceLinked="1"/>
        <c:majorTickMark val="cross"/>
        <c:minorTickMark val="none"/>
        <c:tickLblPos val="low"/>
        <c:spPr>
          <a:ln w="2445">
            <a:solidFill>
              <a:srgbClr val="000000"/>
            </a:solidFill>
            <a:prstDash val="solid"/>
          </a:ln>
        </c:spPr>
        <c:txPr>
          <a:bodyPr rot="0" vert="horz"/>
          <a:lstStyle/>
          <a:p>
            <a:pPr>
              <a:defRPr sz="905" b="0" i="0" u="none" strike="noStrike" baseline="0">
                <a:solidFill>
                  <a:srgbClr val="000000"/>
                </a:solidFill>
                <a:latin typeface="Times New Roman"/>
                <a:ea typeface="Times New Roman"/>
                <a:cs typeface="Times New Roman"/>
              </a:defRPr>
            </a:pPr>
            <a:endParaRPr lang="en-US"/>
          </a:p>
        </c:txPr>
        <c:crossAx val="145861632"/>
        <c:crosses val="max"/>
        <c:crossBetween val="midCat"/>
        <c:majorUnit val="0.2"/>
      </c:valAx>
      <c:spPr>
        <a:noFill/>
        <a:ln w="9779">
          <a:solidFill>
            <a:srgbClr val="808080"/>
          </a:solidFill>
          <a:prstDash val="solid"/>
        </a:ln>
      </c:spPr>
    </c:plotArea>
    <c:plotVisOnly val="1"/>
    <c:dispBlanksAs val="gap"/>
    <c:showDLblsOverMax val="0"/>
  </c:chart>
  <c:spPr>
    <a:noFill/>
    <a:ln>
      <a:noFill/>
    </a:ln>
  </c:spPr>
  <c:txPr>
    <a:bodyPr/>
    <a:lstStyle/>
    <a:p>
      <a:pPr>
        <a:defRPr sz="90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88" b="0" i="0" u="none" strike="noStrike" baseline="0">
                <a:solidFill>
                  <a:srgbClr val="000000"/>
                </a:solidFill>
                <a:latin typeface="Times New Roman"/>
                <a:ea typeface="Times New Roman"/>
                <a:cs typeface="Times New Roman"/>
              </a:defRPr>
            </a:pPr>
            <a:r>
              <a:rPr lang="en-CA"/>
              <a:t>Atomic number versus Ionization energy</a:t>
            </a:r>
          </a:p>
        </c:rich>
      </c:tx>
      <c:layout>
        <c:manualLayout>
          <c:xMode val="edge"/>
          <c:yMode val="edge"/>
          <c:x val="0.27968923418423974"/>
          <c:y val="0"/>
        </c:manualLayout>
      </c:layout>
      <c:overlay val="0"/>
      <c:spPr>
        <a:noFill/>
        <a:ln w="19580">
          <a:noFill/>
        </a:ln>
      </c:spPr>
    </c:title>
    <c:autoTitleDeleted val="0"/>
    <c:plotArea>
      <c:layout>
        <c:manualLayout>
          <c:layoutTarget val="inner"/>
          <c:xMode val="edge"/>
          <c:yMode val="edge"/>
          <c:x val="7.9911209766925645E-2"/>
          <c:y val="9.1353996737357265E-2"/>
          <c:w val="0.90011098779134291"/>
          <c:h val="0.80097879282218598"/>
        </c:manualLayout>
      </c:layout>
      <c:lineChart>
        <c:grouping val="standard"/>
        <c:varyColors val="0"/>
        <c:ser>
          <c:idx val="1"/>
          <c:order val="0"/>
          <c:spPr>
            <a:ln w="15875">
              <a:solidFill>
                <a:schemeClr val="tx1"/>
              </a:solidFill>
              <a:prstDash val="solid"/>
            </a:ln>
          </c:spPr>
          <c:marker>
            <c:symbol val="square"/>
            <c:size val="3"/>
            <c:spPr>
              <a:solidFill>
                <a:schemeClr val="tx1"/>
              </a:solidFill>
              <a:ln>
                <a:solidFill>
                  <a:schemeClr val="tx1"/>
                </a:solidFill>
                <a:prstDash val="solid"/>
              </a:ln>
            </c:spPr>
          </c:marker>
          <c:cat>
            <c:numRef>
              <c:f>Data!$A$2:$A$90</c:f>
              <c:numCache>
                <c:formatCode>General</c:formatCode>
                <c:ptCount val="8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numCache>
            </c:numRef>
          </c:cat>
          <c:val>
            <c:numRef>
              <c:f>Data!$D$2:$D$90</c:f>
              <c:numCache>
                <c:formatCode>General</c:formatCode>
                <c:ptCount val="89"/>
                <c:pt idx="0">
                  <c:v>13.6</c:v>
                </c:pt>
                <c:pt idx="1">
                  <c:v>24.59</c:v>
                </c:pt>
                <c:pt idx="2">
                  <c:v>5.39</c:v>
                </c:pt>
                <c:pt idx="3">
                  <c:v>9.32</c:v>
                </c:pt>
                <c:pt idx="4">
                  <c:v>8.3000000000000007</c:v>
                </c:pt>
                <c:pt idx="5">
                  <c:v>11.26</c:v>
                </c:pt>
                <c:pt idx="6">
                  <c:v>14.53</c:v>
                </c:pt>
                <c:pt idx="7">
                  <c:v>13.62</c:v>
                </c:pt>
                <c:pt idx="8">
                  <c:v>17.420000000000002</c:v>
                </c:pt>
                <c:pt idx="9">
                  <c:v>21.56</c:v>
                </c:pt>
                <c:pt idx="10">
                  <c:v>5.14</c:v>
                </c:pt>
                <c:pt idx="11">
                  <c:v>7.65</c:v>
                </c:pt>
                <c:pt idx="12">
                  <c:v>5.99</c:v>
                </c:pt>
                <c:pt idx="13">
                  <c:v>8.15</c:v>
                </c:pt>
                <c:pt idx="14">
                  <c:v>10.49</c:v>
                </c:pt>
                <c:pt idx="15">
                  <c:v>10.36</c:v>
                </c:pt>
                <c:pt idx="16">
                  <c:v>12.97</c:v>
                </c:pt>
                <c:pt idx="17">
                  <c:v>15.76</c:v>
                </c:pt>
                <c:pt idx="18">
                  <c:v>4.34</c:v>
                </c:pt>
                <c:pt idx="19">
                  <c:v>6.11</c:v>
                </c:pt>
                <c:pt idx="20">
                  <c:v>6.56</c:v>
                </c:pt>
                <c:pt idx="21">
                  <c:v>6.83</c:v>
                </c:pt>
                <c:pt idx="22">
                  <c:v>6.75</c:v>
                </c:pt>
                <c:pt idx="23">
                  <c:v>6.77</c:v>
                </c:pt>
                <c:pt idx="24">
                  <c:v>7.43</c:v>
                </c:pt>
                <c:pt idx="25">
                  <c:v>7.9</c:v>
                </c:pt>
                <c:pt idx="26">
                  <c:v>7.88</c:v>
                </c:pt>
                <c:pt idx="27">
                  <c:v>7.64</c:v>
                </c:pt>
                <c:pt idx="28">
                  <c:v>7.73</c:v>
                </c:pt>
                <c:pt idx="29">
                  <c:v>9.39</c:v>
                </c:pt>
                <c:pt idx="30">
                  <c:v>6</c:v>
                </c:pt>
                <c:pt idx="31">
                  <c:v>7.9</c:v>
                </c:pt>
                <c:pt idx="32">
                  <c:v>9.82</c:v>
                </c:pt>
                <c:pt idx="33">
                  <c:v>9.75</c:v>
                </c:pt>
                <c:pt idx="34">
                  <c:v>11.81</c:v>
                </c:pt>
                <c:pt idx="35">
                  <c:v>14</c:v>
                </c:pt>
                <c:pt idx="36">
                  <c:v>4.18</c:v>
                </c:pt>
                <c:pt idx="37">
                  <c:v>5.69</c:v>
                </c:pt>
                <c:pt idx="38">
                  <c:v>6.22</c:v>
                </c:pt>
                <c:pt idx="39">
                  <c:v>6.63</c:v>
                </c:pt>
                <c:pt idx="40">
                  <c:v>6.76</c:v>
                </c:pt>
                <c:pt idx="41">
                  <c:v>7.09</c:v>
                </c:pt>
                <c:pt idx="42">
                  <c:v>7.28</c:v>
                </c:pt>
                <c:pt idx="43">
                  <c:v>7.36</c:v>
                </c:pt>
                <c:pt idx="44">
                  <c:v>7.46</c:v>
                </c:pt>
                <c:pt idx="45">
                  <c:v>8.34</c:v>
                </c:pt>
                <c:pt idx="46">
                  <c:v>7.58</c:v>
                </c:pt>
                <c:pt idx="47">
                  <c:v>8.99</c:v>
                </c:pt>
                <c:pt idx="48">
                  <c:v>5.79</c:v>
                </c:pt>
                <c:pt idx="49">
                  <c:v>7.34</c:v>
                </c:pt>
                <c:pt idx="50">
                  <c:v>8.64</c:v>
                </c:pt>
                <c:pt idx="51">
                  <c:v>9.01</c:v>
                </c:pt>
                <c:pt idx="52">
                  <c:v>10.45</c:v>
                </c:pt>
                <c:pt idx="53">
                  <c:v>12.13</c:v>
                </c:pt>
                <c:pt idx="54">
                  <c:v>3.89</c:v>
                </c:pt>
                <c:pt idx="55">
                  <c:v>5.21</c:v>
                </c:pt>
                <c:pt idx="56">
                  <c:v>5.58</c:v>
                </c:pt>
                <c:pt idx="57">
                  <c:v>5.54</c:v>
                </c:pt>
                <c:pt idx="58">
                  <c:v>5.46</c:v>
                </c:pt>
                <c:pt idx="59">
                  <c:v>5.53</c:v>
                </c:pt>
                <c:pt idx="60">
                  <c:v>5.55</c:v>
                </c:pt>
                <c:pt idx="61">
                  <c:v>5.64</c:v>
                </c:pt>
                <c:pt idx="62">
                  <c:v>5.67</c:v>
                </c:pt>
                <c:pt idx="63">
                  <c:v>6.15</c:v>
                </c:pt>
                <c:pt idx="64">
                  <c:v>5.86</c:v>
                </c:pt>
                <c:pt idx="65">
                  <c:v>5.94</c:v>
                </c:pt>
                <c:pt idx="66">
                  <c:v>6.02</c:v>
                </c:pt>
                <c:pt idx="67">
                  <c:v>6.11</c:v>
                </c:pt>
                <c:pt idx="68">
                  <c:v>6.18</c:v>
                </c:pt>
                <c:pt idx="69">
                  <c:v>6.25</c:v>
                </c:pt>
                <c:pt idx="70">
                  <c:v>5.42</c:v>
                </c:pt>
                <c:pt idx="71">
                  <c:v>6.82</c:v>
                </c:pt>
                <c:pt idx="72">
                  <c:v>7.89</c:v>
                </c:pt>
                <c:pt idx="73">
                  <c:v>7.98</c:v>
                </c:pt>
                <c:pt idx="74">
                  <c:v>7.88</c:v>
                </c:pt>
                <c:pt idx="75">
                  <c:v>8.6999999999999993</c:v>
                </c:pt>
                <c:pt idx="76">
                  <c:v>9.1</c:v>
                </c:pt>
                <c:pt idx="77">
                  <c:v>9</c:v>
                </c:pt>
                <c:pt idx="78">
                  <c:v>9.23</c:v>
                </c:pt>
                <c:pt idx="79">
                  <c:v>10.44</c:v>
                </c:pt>
                <c:pt idx="80">
                  <c:v>6.11</c:v>
                </c:pt>
                <c:pt idx="81">
                  <c:v>7.42</c:v>
                </c:pt>
                <c:pt idx="82">
                  <c:v>7.29</c:v>
                </c:pt>
                <c:pt idx="83">
                  <c:v>8.42</c:v>
                </c:pt>
                <c:pt idx="84">
                  <c:v>8.99</c:v>
                </c:pt>
                <c:pt idx="85">
                  <c:v>10.75</c:v>
                </c:pt>
                <c:pt idx="86">
                  <c:v>3.9</c:v>
                </c:pt>
                <c:pt idx="87">
                  <c:v>5.28</c:v>
                </c:pt>
                <c:pt idx="88">
                  <c:v>5.17</c:v>
                </c:pt>
              </c:numCache>
            </c:numRef>
          </c:val>
          <c:smooth val="0"/>
        </c:ser>
        <c:dLbls>
          <c:showLegendKey val="0"/>
          <c:showVal val="0"/>
          <c:showCatName val="0"/>
          <c:showSerName val="0"/>
          <c:showPercent val="0"/>
          <c:showBubbleSize val="0"/>
        </c:dLbls>
        <c:marker val="1"/>
        <c:smooth val="0"/>
        <c:axId val="145862144"/>
        <c:axId val="127779968"/>
      </c:lineChart>
      <c:catAx>
        <c:axId val="145862144"/>
        <c:scaling>
          <c:orientation val="minMax"/>
        </c:scaling>
        <c:delete val="0"/>
        <c:axPos val="b"/>
        <c:majorGridlines>
          <c:spPr>
            <a:ln w="2447">
              <a:solidFill>
                <a:srgbClr val="000000"/>
              </a:solidFill>
              <a:prstDash val="solid"/>
            </a:ln>
          </c:spPr>
        </c:majorGridlines>
        <c:title>
          <c:tx>
            <c:rich>
              <a:bodyPr/>
              <a:lstStyle/>
              <a:p>
                <a:pPr>
                  <a:defRPr sz="925"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5394006659267483"/>
              <c:y val="0.95269168026101136"/>
            </c:manualLayout>
          </c:layout>
          <c:overlay val="0"/>
          <c:spPr>
            <a:noFill/>
            <a:ln w="19580">
              <a:noFill/>
            </a:ln>
          </c:spPr>
        </c:title>
        <c:numFmt formatCode="General" sourceLinked="1"/>
        <c:majorTickMark val="out"/>
        <c:minorTickMark val="none"/>
        <c:tickLblPos val="nextTo"/>
        <c:spPr>
          <a:ln w="2447">
            <a:solidFill>
              <a:srgbClr val="000000"/>
            </a:solidFill>
            <a:prstDash val="solid"/>
          </a:ln>
        </c:spPr>
        <c:txPr>
          <a:bodyPr rot="0" vert="horz"/>
          <a:lstStyle/>
          <a:p>
            <a:pPr>
              <a:defRPr sz="771" b="0" i="0" u="none" strike="noStrike" baseline="0">
                <a:solidFill>
                  <a:srgbClr val="000000"/>
                </a:solidFill>
                <a:latin typeface="Times New Roman"/>
                <a:ea typeface="Times New Roman"/>
                <a:cs typeface="Times New Roman"/>
              </a:defRPr>
            </a:pPr>
            <a:endParaRPr lang="en-US"/>
          </a:p>
        </c:txPr>
        <c:crossAx val="127779968"/>
        <c:crosses val="autoZero"/>
        <c:auto val="1"/>
        <c:lblAlgn val="ctr"/>
        <c:lblOffset val="100"/>
        <c:tickLblSkip val="2"/>
        <c:tickMarkSkip val="2"/>
        <c:noMultiLvlLbl val="0"/>
      </c:catAx>
      <c:valAx>
        <c:axId val="127779968"/>
        <c:scaling>
          <c:orientation val="minMax"/>
        </c:scaling>
        <c:delete val="0"/>
        <c:axPos val="r"/>
        <c:majorGridlines>
          <c:spPr>
            <a:ln w="2447">
              <a:solidFill>
                <a:srgbClr val="000000"/>
              </a:solidFill>
              <a:prstDash val="solid"/>
            </a:ln>
          </c:spPr>
        </c:majorGridlines>
        <c:title>
          <c:tx>
            <c:rich>
              <a:bodyPr/>
              <a:lstStyle/>
              <a:p>
                <a:pPr>
                  <a:defRPr sz="925" b="0" i="0" u="none" strike="noStrike" baseline="0">
                    <a:solidFill>
                      <a:srgbClr val="000000"/>
                    </a:solidFill>
                    <a:latin typeface="Times New Roman"/>
                    <a:ea typeface="Times New Roman"/>
                    <a:cs typeface="Times New Roman"/>
                  </a:defRPr>
                </a:pPr>
                <a:r>
                  <a:rPr lang="en-CA"/>
                  <a:t>Ionization Energy (eV)</a:t>
                </a:r>
              </a:p>
            </c:rich>
          </c:tx>
          <c:layout>
            <c:manualLayout>
              <c:xMode val="edge"/>
              <c:yMode val="edge"/>
              <c:x val="1.1098779134295227E-2"/>
              <c:y val="0.30179445350734097"/>
            </c:manualLayout>
          </c:layout>
          <c:overlay val="0"/>
          <c:spPr>
            <a:noFill/>
            <a:ln w="19580">
              <a:noFill/>
            </a:ln>
          </c:spPr>
        </c:title>
        <c:numFmt formatCode="General" sourceLinked="1"/>
        <c:majorTickMark val="cross"/>
        <c:minorTickMark val="none"/>
        <c:tickLblPos val="low"/>
        <c:spPr>
          <a:ln w="2447">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en-US"/>
          </a:p>
        </c:txPr>
        <c:crossAx val="145862144"/>
        <c:crosses val="max"/>
        <c:crossBetween val="midCat"/>
        <c:majorUnit val="1"/>
      </c:valAx>
      <c:spPr>
        <a:noFill/>
        <a:ln w="9790">
          <a:solidFill>
            <a:srgbClr val="808080"/>
          </a:solidFill>
          <a:prstDash val="solid"/>
        </a:ln>
      </c:spPr>
    </c:plotArea>
    <c:plotVisOnly val="1"/>
    <c:dispBlanksAs val="gap"/>
    <c:showDLblsOverMax val="0"/>
  </c:chart>
  <c:spPr>
    <a:noFill/>
    <a:ln>
      <a:noFill/>
    </a:ln>
  </c:spPr>
  <c:txPr>
    <a:bodyPr/>
    <a:lstStyle/>
    <a:p>
      <a:pPr>
        <a:defRPr sz="92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0" b="0" i="0" u="none" strike="noStrike" baseline="0">
                <a:solidFill>
                  <a:srgbClr val="000000"/>
                </a:solidFill>
                <a:latin typeface="Times New Roman"/>
                <a:ea typeface="Times New Roman"/>
                <a:cs typeface="Times New Roman"/>
              </a:defRPr>
            </a:pPr>
            <a:r>
              <a:rPr lang="en-CA"/>
              <a:t>Atomic number versus Electronegativity</a:t>
            </a:r>
          </a:p>
        </c:rich>
      </c:tx>
      <c:layout>
        <c:manualLayout>
          <c:xMode val="edge"/>
          <c:yMode val="edge"/>
          <c:x val="0.28079911209766928"/>
          <c:y val="4.8939641109298528E-3"/>
        </c:manualLayout>
      </c:layout>
      <c:overlay val="0"/>
      <c:spPr>
        <a:noFill/>
        <a:ln w="18207">
          <a:noFill/>
        </a:ln>
      </c:spPr>
    </c:title>
    <c:autoTitleDeleted val="0"/>
    <c:plotArea>
      <c:layout>
        <c:manualLayout>
          <c:layoutTarget val="inner"/>
          <c:xMode val="edge"/>
          <c:yMode val="edge"/>
          <c:x val="8.8790233074361818E-2"/>
          <c:y val="9.7879282218597069E-2"/>
          <c:w val="0.89567147613762488"/>
          <c:h val="0.80587275693311577"/>
        </c:manualLayout>
      </c:layout>
      <c:lineChart>
        <c:grouping val="standard"/>
        <c:varyColors val="0"/>
        <c:ser>
          <c:idx val="1"/>
          <c:order val="0"/>
          <c:spPr>
            <a:ln w="15875">
              <a:solidFill>
                <a:schemeClr val="tx1"/>
              </a:solidFill>
              <a:prstDash val="solid"/>
            </a:ln>
          </c:spPr>
          <c:marker>
            <c:symbol val="square"/>
            <c:size val="3"/>
            <c:spPr>
              <a:solidFill>
                <a:schemeClr val="tx1"/>
              </a:solidFill>
              <a:ln>
                <a:solidFill>
                  <a:schemeClr val="tx1"/>
                </a:solidFill>
                <a:prstDash val="solid"/>
              </a:ln>
            </c:spPr>
          </c:marker>
          <c:cat>
            <c:numRef>
              <c:f>Data!$A$2:$A$90</c:f>
              <c:numCache>
                <c:formatCode>General</c:formatCode>
                <c:ptCount val="8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numCache>
            </c:numRef>
          </c:cat>
          <c:val>
            <c:numRef>
              <c:f>Data!$E$2:$E$90</c:f>
              <c:numCache>
                <c:formatCode>General</c:formatCode>
                <c:ptCount val="89"/>
                <c:pt idx="0">
                  <c:v>2.1</c:v>
                </c:pt>
                <c:pt idx="1">
                  <c:v>0</c:v>
                </c:pt>
                <c:pt idx="2">
                  <c:v>0.98</c:v>
                </c:pt>
                <c:pt idx="3">
                  <c:v>1.5</c:v>
                </c:pt>
                <c:pt idx="4">
                  <c:v>2.04</c:v>
                </c:pt>
                <c:pt idx="5">
                  <c:v>2.5</c:v>
                </c:pt>
                <c:pt idx="6">
                  <c:v>3.04</c:v>
                </c:pt>
                <c:pt idx="7">
                  <c:v>3.5</c:v>
                </c:pt>
                <c:pt idx="8">
                  <c:v>3.98</c:v>
                </c:pt>
                <c:pt idx="9">
                  <c:v>0</c:v>
                </c:pt>
                <c:pt idx="10">
                  <c:v>0.93</c:v>
                </c:pt>
                <c:pt idx="11">
                  <c:v>1.2</c:v>
                </c:pt>
                <c:pt idx="12">
                  <c:v>1.5</c:v>
                </c:pt>
                <c:pt idx="13">
                  <c:v>2.1</c:v>
                </c:pt>
                <c:pt idx="14">
                  <c:v>2.19</c:v>
                </c:pt>
                <c:pt idx="15">
                  <c:v>2.5</c:v>
                </c:pt>
                <c:pt idx="16">
                  <c:v>3</c:v>
                </c:pt>
                <c:pt idx="17">
                  <c:v>0</c:v>
                </c:pt>
                <c:pt idx="18">
                  <c:v>0.82</c:v>
                </c:pt>
                <c:pt idx="19">
                  <c:v>1</c:v>
                </c:pt>
                <c:pt idx="20">
                  <c:v>1.36</c:v>
                </c:pt>
                <c:pt idx="21">
                  <c:v>1.54</c:v>
                </c:pt>
                <c:pt idx="22">
                  <c:v>1.63</c:v>
                </c:pt>
                <c:pt idx="23">
                  <c:v>1.6</c:v>
                </c:pt>
                <c:pt idx="24">
                  <c:v>1.5</c:v>
                </c:pt>
                <c:pt idx="25">
                  <c:v>1.8</c:v>
                </c:pt>
                <c:pt idx="26">
                  <c:v>1.88</c:v>
                </c:pt>
                <c:pt idx="27">
                  <c:v>1.91</c:v>
                </c:pt>
                <c:pt idx="28">
                  <c:v>1.9</c:v>
                </c:pt>
                <c:pt idx="29">
                  <c:v>1.6</c:v>
                </c:pt>
                <c:pt idx="30">
                  <c:v>1.6</c:v>
                </c:pt>
                <c:pt idx="31">
                  <c:v>1.8</c:v>
                </c:pt>
                <c:pt idx="32">
                  <c:v>2.1800000000000002</c:v>
                </c:pt>
                <c:pt idx="33">
                  <c:v>2.4</c:v>
                </c:pt>
                <c:pt idx="34">
                  <c:v>2.8</c:v>
                </c:pt>
                <c:pt idx="35">
                  <c:v>1.1000000000000001</c:v>
                </c:pt>
                <c:pt idx="36">
                  <c:v>0.8</c:v>
                </c:pt>
                <c:pt idx="37">
                  <c:v>1</c:v>
                </c:pt>
                <c:pt idx="38">
                  <c:v>1.2</c:v>
                </c:pt>
                <c:pt idx="39">
                  <c:v>1.4</c:v>
                </c:pt>
                <c:pt idx="40">
                  <c:v>1.6</c:v>
                </c:pt>
                <c:pt idx="41">
                  <c:v>1.8</c:v>
                </c:pt>
                <c:pt idx="42">
                  <c:v>1.9</c:v>
                </c:pt>
                <c:pt idx="43">
                  <c:v>2.2000000000000002</c:v>
                </c:pt>
                <c:pt idx="44">
                  <c:v>2.2999999999999998</c:v>
                </c:pt>
                <c:pt idx="45">
                  <c:v>2.2000000000000002</c:v>
                </c:pt>
                <c:pt idx="46">
                  <c:v>1.9</c:v>
                </c:pt>
                <c:pt idx="47">
                  <c:v>1.7</c:v>
                </c:pt>
                <c:pt idx="48">
                  <c:v>1.7</c:v>
                </c:pt>
                <c:pt idx="49">
                  <c:v>1.8</c:v>
                </c:pt>
                <c:pt idx="50">
                  <c:v>1.9</c:v>
                </c:pt>
                <c:pt idx="51">
                  <c:v>2.1</c:v>
                </c:pt>
                <c:pt idx="52">
                  <c:v>2.5</c:v>
                </c:pt>
                <c:pt idx="53">
                  <c:v>0</c:v>
                </c:pt>
                <c:pt idx="54">
                  <c:v>0.7</c:v>
                </c:pt>
                <c:pt idx="55">
                  <c:v>0.9</c:v>
                </c:pt>
                <c:pt idx="56">
                  <c:v>1.1000000000000001</c:v>
                </c:pt>
                <c:pt idx="57">
                  <c:v>1.1000000000000001</c:v>
                </c:pt>
                <c:pt idx="58">
                  <c:v>1.1000000000000001</c:v>
                </c:pt>
                <c:pt idx="59">
                  <c:v>1.2</c:v>
                </c:pt>
                <c:pt idx="60">
                  <c:v>1.1000000000000001</c:v>
                </c:pt>
                <c:pt idx="61">
                  <c:v>1.2</c:v>
                </c:pt>
                <c:pt idx="62">
                  <c:v>1.1000000000000001</c:v>
                </c:pt>
                <c:pt idx="63">
                  <c:v>1.1000000000000001</c:v>
                </c:pt>
                <c:pt idx="64">
                  <c:v>1.2</c:v>
                </c:pt>
                <c:pt idx="65">
                  <c:v>1.2</c:v>
                </c:pt>
                <c:pt idx="66">
                  <c:v>1.2</c:v>
                </c:pt>
                <c:pt idx="67">
                  <c:v>1.2</c:v>
                </c:pt>
                <c:pt idx="68">
                  <c:v>1.2</c:v>
                </c:pt>
                <c:pt idx="69">
                  <c:v>1.1000000000000001</c:v>
                </c:pt>
                <c:pt idx="70">
                  <c:v>1.2</c:v>
                </c:pt>
                <c:pt idx="71">
                  <c:v>1.3</c:v>
                </c:pt>
                <c:pt idx="72">
                  <c:v>1.5</c:v>
                </c:pt>
                <c:pt idx="73">
                  <c:v>1.7</c:v>
                </c:pt>
                <c:pt idx="74">
                  <c:v>1.9</c:v>
                </c:pt>
                <c:pt idx="75">
                  <c:v>2.2000000000000002</c:v>
                </c:pt>
                <c:pt idx="76">
                  <c:v>2.2000000000000002</c:v>
                </c:pt>
                <c:pt idx="77">
                  <c:v>2.2000000000000002</c:v>
                </c:pt>
                <c:pt idx="78">
                  <c:v>2.4</c:v>
                </c:pt>
                <c:pt idx="79">
                  <c:v>1.9</c:v>
                </c:pt>
                <c:pt idx="80">
                  <c:v>1.8</c:v>
                </c:pt>
                <c:pt idx="81">
                  <c:v>1.8</c:v>
                </c:pt>
                <c:pt idx="82">
                  <c:v>1.9</c:v>
                </c:pt>
                <c:pt idx="83">
                  <c:v>2</c:v>
                </c:pt>
                <c:pt idx="84">
                  <c:v>2.2000000000000002</c:v>
                </c:pt>
                <c:pt idx="85">
                  <c:v>0</c:v>
                </c:pt>
                <c:pt idx="86">
                  <c:v>0.7</c:v>
                </c:pt>
                <c:pt idx="87">
                  <c:v>0.9</c:v>
                </c:pt>
                <c:pt idx="88">
                  <c:v>1.1000000000000001</c:v>
                </c:pt>
              </c:numCache>
            </c:numRef>
          </c:val>
          <c:smooth val="0"/>
        </c:ser>
        <c:dLbls>
          <c:showLegendKey val="0"/>
          <c:showVal val="0"/>
          <c:showCatName val="0"/>
          <c:showSerName val="0"/>
          <c:showPercent val="0"/>
          <c:showBubbleSize val="0"/>
        </c:dLbls>
        <c:marker val="1"/>
        <c:smooth val="0"/>
        <c:axId val="155757056"/>
        <c:axId val="127781696"/>
      </c:lineChart>
      <c:catAx>
        <c:axId val="155757056"/>
        <c:scaling>
          <c:orientation val="minMax"/>
        </c:scaling>
        <c:delete val="0"/>
        <c:axPos val="b"/>
        <c:majorGridlines>
          <c:spPr>
            <a:ln w="2276">
              <a:solidFill>
                <a:srgbClr val="000000"/>
              </a:solidFill>
              <a:prstDash val="solid"/>
            </a:ln>
          </c:spPr>
        </c:majorGridlines>
        <c:title>
          <c:tx>
            <c:rich>
              <a:bodyPr/>
              <a:lstStyle/>
              <a:p>
                <a:pPr>
                  <a:defRPr sz="860"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7835738068812433"/>
              <c:y val="0.95269168026101136"/>
            </c:manualLayout>
          </c:layout>
          <c:overlay val="0"/>
          <c:spPr>
            <a:noFill/>
            <a:ln w="18207">
              <a:noFill/>
            </a:ln>
          </c:spPr>
        </c:title>
        <c:numFmt formatCode="General" sourceLinked="1"/>
        <c:majorTickMark val="out"/>
        <c:minorTickMark val="none"/>
        <c:tickLblPos val="nextTo"/>
        <c:spPr>
          <a:ln w="2276">
            <a:solidFill>
              <a:srgbClr val="000000"/>
            </a:solidFill>
            <a:prstDash val="solid"/>
          </a:ln>
        </c:spPr>
        <c:txPr>
          <a:bodyPr rot="0" vert="horz"/>
          <a:lstStyle/>
          <a:p>
            <a:pPr>
              <a:defRPr sz="717" b="0" i="0" u="none" strike="noStrike" baseline="0">
                <a:solidFill>
                  <a:srgbClr val="000000"/>
                </a:solidFill>
                <a:latin typeface="Times New Roman"/>
                <a:ea typeface="Times New Roman"/>
                <a:cs typeface="Times New Roman"/>
              </a:defRPr>
            </a:pPr>
            <a:endParaRPr lang="en-US"/>
          </a:p>
        </c:txPr>
        <c:crossAx val="127781696"/>
        <c:crosses val="autoZero"/>
        <c:auto val="1"/>
        <c:lblAlgn val="ctr"/>
        <c:lblOffset val="100"/>
        <c:tickLblSkip val="2"/>
        <c:tickMarkSkip val="2"/>
        <c:noMultiLvlLbl val="0"/>
      </c:catAx>
      <c:valAx>
        <c:axId val="127781696"/>
        <c:scaling>
          <c:orientation val="minMax"/>
        </c:scaling>
        <c:delete val="0"/>
        <c:axPos val="r"/>
        <c:majorGridlines>
          <c:spPr>
            <a:ln w="2276">
              <a:solidFill>
                <a:srgbClr val="000000"/>
              </a:solidFill>
              <a:prstDash val="solid"/>
            </a:ln>
          </c:spPr>
        </c:majorGridlines>
        <c:title>
          <c:tx>
            <c:rich>
              <a:bodyPr/>
              <a:lstStyle/>
              <a:p>
                <a:pPr>
                  <a:defRPr sz="860" b="0" i="0" u="none" strike="noStrike" baseline="0">
                    <a:solidFill>
                      <a:srgbClr val="000000"/>
                    </a:solidFill>
                    <a:latin typeface="Times New Roman"/>
                    <a:ea typeface="Times New Roman"/>
                    <a:cs typeface="Times New Roman"/>
                  </a:defRPr>
                </a:pPr>
                <a:r>
                  <a:rPr lang="en-CA"/>
                  <a:t>Electronegativity</a:t>
                </a:r>
              </a:p>
            </c:rich>
          </c:tx>
          <c:layout>
            <c:manualLayout>
              <c:xMode val="edge"/>
              <c:yMode val="edge"/>
              <c:x val="1.4428412874583796E-2"/>
              <c:y val="0.41598694942903752"/>
            </c:manualLayout>
          </c:layout>
          <c:overlay val="0"/>
          <c:spPr>
            <a:noFill/>
            <a:ln w="18207">
              <a:noFill/>
            </a:ln>
          </c:spPr>
        </c:title>
        <c:numFmt formatCode="General" sourceLinked="1"/>
        <c:majorTickMark val="cross"/>
        <c:minorTickMark val="none"/>
        <c:tickLblPos val="low"/>
        <c:spPr>
          <a:ln w="2276">
            <a:solidFill>
              <a:srgbClr val="000000"/>
            </a:solidFill>
            <a:prstDash val="solid"/>
          </a:ln>
        </c:spPr>
        <c:txPr>
          <a:bodyPr rot="0" vert="horz"/>
          <a:lstStyle/>
          <a:p>
            <a:pPr>
              <a:defRPr sz="860" b="0" i="0" u="none" strike="noStrike" baseline="0">
                <a:solidFill>
                  <a:srgbClr val="000000"/>
                </a:solidFill>
                <a:latin typeface="Times New Roman"/>
                <a:ea typeface="Times New Roman"/>
                <a:cs typeface="Times New Roman"/>
              </a:defRPr>
            </a:pPr>
            <a:endParaRPr lang="en-US"/>
          </a:p>
        </c:txPr>
        <c:crossAx val="155757056"/>
        <c:crosses val="max"/>
        <c:crossBetween val="midCat"/>
        <c:majorUnit val="0.2"/>
      </c:valAx>
      <c:spPr>
        <a:noFill/>
        <a:ln w="9103">
          <a:solidFill>
            <a:srgbClr val="808080"/>
          </a:solidFill>
          <a:prstDash val="solid"/>
        </a:ln>
      </c:spPr>
    </c:plotArea>
    <c:plotVisOnly val="1"/>
    <c:dispBlanksAs val="gap"/>
    <c:showDLblsOverMax val="0"/>
  </c:chart>
  <c:spPr>
    <a:noFill/>
    <a:ln>
      <a:noFill/>
    </a:ln>
  </c:spPr>
  <c:txPr>
    <a:bodyPr/>
    <a:lstStyle/>
    <a:p>
      <a:pPr>
        <a:defRPr sz="86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9" b="0" i="0" u="none" strike="noStrike" baseline="0">
                <a:solidFill>
                  <a:srgbClr val="000000"/>
                </a:solidFill>
                <a:latin typeface="Times New Roman"/>
                <a:ea typeface="Times New Roman"/>
                <a:cs typeface="Times New Roman"/>
              </a:defRPr>
            </a:pPr>
            <a:r>
              <a:rPr lang="en-CA"/>
              <a:t>Atomic number versus Melting point</a:t>
            </a:r>
          </a:p>
        </c:rich>
      </c:tx>
      <c:layout>
        <c:manualLayout>
          <c:xMode val="edge"/>
          <c:yMode val="edge"/>
          <c:x val="0.30077691453940064"/>
          <c:y val="4.8939641109298528E-3"/>
        </c:manualLayout>
      </c:layout>
      <c:overlay val="0"/>
      <c:spPr>
        <a:noFill/>
        <a:ln w="15368">
          <a:noFill/>
        </a:ln>
      </c:spPr>
    </c:title>
    <c:autoTitleDeleted val="0"/>
    <c:plotArea>
      <c:layout>
        <c:manualLayout>
          <c:layoutTarget val="inner"/>
          <c:xMode val="edge"/>
          <c:yMode val="edge"/>
          <c:x val="9.7669256381798006E-2"/>
          <c:y val="9.951060358890701E-2"/>
          <c:w val="0.88235294117647056"/>
          <c:h val="0.81076672104404568"/>
        </c:manualLayout>
      </c:layout>
      <c:lineChart>
        <c:grouping val="standard"/>
        <c:varyColors val="0"/>
        <c:ser>
          <c:idx val="1"/>
          <c:order val="0"/>
          <c:spPr>
            <a:ln w="15875">
              <a:solidFill>
                <a:schemeClr val="tx1"/>
              </a:solidFill>
              <a:prstDash val="solid"/>
            </a:ln>
          </c:spPr>
          <c:marker>
            <c:symbol val="square"/>
            <c:size val="3"/>
            <c:spPr>
              <a:solidFill>
                <a:schemeClr val="tx1"/>
              </a:solidFill>
              <a:ln>
                <a:solidFill>
                  <a:schemeClr val="tx1"/>
                </a:solidFill>
                <a:prstDash val="solid"/>
              </a:ln>
            </c:spPr>
          </c:marker>
          <c:cat>
            <c:numRef>
              <c:f>Data!$A$2:$A$90</c:f>
              <c:numCache>
                <c:formatCode>General</c:formatCode>
                <c:ptCount val="8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numCache>
            </c:numRef>
          </c:cat>
          <c:val>
            <c:numRef>
              <c:f>Data!$F$2:$F$90</c:f>
              <c:numCache>
                <c:formatCode>General</c:formatCode>
                <c:ptCount val="89"/>
                <c:pt idx="0">
                  <c:v>-259.10000000000002</c:v>
                </c:pt>
                <c:pt idx="1">
                  <c:v>-269.7</c:v>
                </c:pt>
                <c:pt idx="2">
                  <c:v>180.5</c:v>
                </c:pt>
                <c:pt idx="3">
                  <c:v>1289</c:v>
                </c:pt>
                <c:pt idx="4">
                  <c:v>2079</c:v>
                </c:pt>
                <c:pt idx="5">
                  <c:v>3550</c:v>
                </c:pt>
                <c:pt idx="6">
                  <c:v>-209.9</c:v>
                </c:pt>
                <c:pt idx="7">
                  <c:v>-218.4</c:v>
                </c:pt>
                <c:pt idx="8">
                  <c:v>-219.6</c:v>
                </c:pt>
                <c:pt idx="9">
                  <c:v>-248.7</c:v>
                </c:pt>
                <c:pt idx="10">
                  <c:v>97.8</c:v>
                </c:pt>
                <c:pt idx="11">
                  <c:v>649</c:v>
                </c:pt>
                <c:pt idx="12">
                  <c:v>660</c:v>
                </c:pt>
                <c:pt idx="13">
                  <c:v>1414</c:v>
                </c:pt>
                <c:pt idx="14">
                  <c:v>44.1</c:v>
                </c:pt>
                <c:pt idx="15">
                  <c:v>115</c:v>
                </c:pt>
                <c:pt idx="16">
                  <c:v>-101</c:v>
                </c:pt>
                <c:pt idx="17">
                  <c:v>-189.4</c:v>
                </c:pt>
                <c:pt idx="18">
                  <c:v>63.7</c:v>
                </c:pt>
                <c:pt idx="19">
                  <c:v>842</c:v>
                </c:pt>
                <c:pt idx="20">
                  <c:v>1541</c:v>
                </c:pt>
                <c:pt idx="21">
                  <c:v>1670</c:v>
                </c:pt>
                <c:pt idx="22">
                  <c:v>1910</c:v>
                </c:pt>
                <c:pt idx="23">
                  <c:v>1863</c:v>
                </c:pt>
                <c:pt idx="24">
                  <c:v>1246</c:v>
                </c:pt>
                <c:pt idx="25">
                  <c:v>1538</c:v>
                </c:pt>
                <c:pt idx="26">
                  <c:v>1495</c:v>
                </c:pt>
                <c:pt idx="27">
                  <c:v>1455</c:v>
                </c:pt>
                <c:pt idx="28">
                  <c:v>1085</c:v>
                </c:pt>
                <c:pt idx="29">
                  <c:v>419.5</c:v>
                </c:pt>
                <c:pt idx="30">
                  <c:v>29.8</c:v>
                </c:pt>
                <c:pt idx="31">
                  <c:v>938</c:v>
                </c:pt>
                <c:pt idx="32">
                  <c:v>820</c:v>
                </c:pt>
                <c:pt idx="33">
                  <c:v>221</c:v>
                </c:pt>
                <c:pt idx="34">
                  <c:v>-7.2</c:v>
                </c:pt>
                <c:pt idx="35">
                  <c:v>-156.6</c:v>
                </c:pt>
                <c:pt idx="36">
                  <c:v>39</c:v>
                </c:pt>
                <c:pt idx="37">
                  <c:v>769</c:v>
                </c:pt>
                <c:pt idx="38">
                  <c:v>1522</c:v>
                </c:pt>
                <c:pt idx="39">
                  <c:v>1855</c:v>
                </c:pt>
                <c:pt idx="40">
                  <c:v>2469</c:v>
                </c:pt>
                <c:pt idx="41">
                  <c:v>2623</c:v>
                </c:pt>
                <c:pt idx="42">
                  <c:v>2204</c:v>
                </c:pt>
                <c:pt idx="43">
                  <c:v>2334</c:v>
                </c:pt>
                <c:pt idx="44">
                  <c:v>1963</c:v>
                </c:pt>
                <c:pt idx="45">
                  <c:v>1555</c:v>
                </c:pt>
                <c:pt idx="46">
                  <c:v>962</c:v>
                </c:pt>
                <c:pt idx="47">
                  <c:v>320.89999999999998</c:v>
                </c:pt>
                <c:pt idx="48">
                  <c:v>157</c:v>
                </c:pt>
                <c:pt idx="49">
                  <c:v>231.9</c:v>
                </c:pt>
                <c:pt idx="50">
                  <c:v>631</c:v>
                </c:pt>
                <c:pt idx="51">
                  <c:v>449.5</c:v>
                </c:pt>
                <c:pt idx="52">
                  <c:v>113.5</c:v>
                </c:pt>
                <c:pt idx="53">
                  <c:v>-111.9</c:v>
                </c:pt>
                <c:pt idx="54">
                  <c:v>28</c:v>
                </c:pt>
                <c:pt idx="55">
                  <c:v>729</c:v>
                </c:pt>
                <c:pt idx="56">
                  <c:v>918</c:v>
                </c:pt>
                <c:pt idx="57">
                  <c:v>798</c:v>
                </c:pt>
                <c:pt idx="58">
                  <c:v>931</c:v>
                </c:pt>
                <c:pt idx="59">
                  <c:v>1021</c:v>
                </c:pt>
                <c:pt idx="60">
                  <c:v>1042</c:v>
                </c:pt>
                <c:pt idx="61">
                  <c:v>1074</c:v>
                </c:pt>
                <c:pt idx="62">
                  <c:v>822</c:v>
                </c:pt>
                <c:pt idx="63">
                  <c:v>1313</c:v>
                </c:pt>
                <c:pt idx="64">
                  <c:v>1356</c:v>
                </c:pt>
                <c:pt idx="65">
                  <c:v>1412</c:v>
                </c:pt>
                <c:pt idx="66">
                  <c:v>1474</c:v>
                </c:pt>
                <c:pt idx="67">
                  <c:v>1529</c:v>
                </c:pt>
                <c:pt idx="68">
                  <c:v>1545</c:v>
                </c:pt>
                <c:pt idx="69">
                  <c:v>819</c:v>
                </c:pt>
                <c:pt idx="70">
                  <c:v>1663</c:v>
                </c:pt>
                <c:pt idx="71">
                  <c:v>2231</c:v>
                </c:pt>
                <c:pt idx="72">
                  <c:v>3020</c:v>
                </c:pt>
                <c:pt idx="73">
                  <c:v>3422</c:v>
                </c:pt>
                <c:pt idx="74">
                  <c:v>3186</c:v>
                </c:pt>
                <c:pt idx="75">
                  <c:v>3033</c:v>
                </c:pt>
                <c:pt idx="76">
                  <c:v>2447</c:v>
                </c:pt>
                <c:pt idx="77">
                  <c:v>1769</c:v>
                </c:pt>
                <c:pt idx="78">
                  <c:v>1064</c:v>
                </c:pt>
                <c:pt idx="79">
                  <c:v>-38.9</c:v>
                </c:pt>
                <c:pt idx="80">
                  <c:v>304</c:v>
                </c:pt>
                <c:pt idx="81">
                  <c:v>327.5</c:v>
                </c:pt>
                <c:pt idx="82">
                  <c:v>271.3</c:v>
                </c:pt>
                <c:pt idx="83">
                  <c:v>254</c:v>
                </c:pt>
                <c:pt idx="84">
                  <c:v>302</c:v>
                </c:pt>
                <c:pt idx="85">
                  <c:v>-71</c:v>
                </c:pt>
                <c:pt idx="86">
                  <c:v>27</c:v>
                </c:pt>
                <c:pt idx="87">
                  <c:v>700</c:v>
                </c:pt>
                <c:pt idx="88">
                  <c:v>1051</c:v>
                </c:pt>
              </c:numCache>
            </c:numRef>
          </c:val>
          <c:smooth val="0"/>
        </c:ser>
        <c:dLbls>
          <c:showLegendKey val="0"/>
          <c:showVal val="0"/>
          <c:showCatName val="0"/>
          <c:showSerName val="0"/>
          <c:showPercent val="0"/>
          <c:showBubbleSize val="0"/>
        </c:dLbls>
        <c:marker val="1"/>
        <c:smooth val="0"/>
        <c:axId val="205997056"/>
        <c:axId val="127783424"/>
      </c:lineChart>
      <c:catAx>
        <c:axId val="205997056"/>
        <c:scaling>
          <c:orientation val="minMax"/>
        </c:scaling>
        <c:delete val="0"/>
        <c:axPos val="b"/>
        <c:majorGridlines>
          <c:spPr>
            <a:ln w="1921">
              <a:solidFill>
                <a:srgbClr val="000000"/>
              </a:solidFill>
              <a:prstDash val="solid"/>
            </a:ln>
          </c:spPr>
        </c:majorGridlines>
        <c:title>
          <c:tx>
            <c:rich>
              <a:bodyPr/>
              <a:lstStyle/>
              <a:p>
                <a:pPr>
                  <a:defRPr sz="726"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8057713651498335"/>
              <c:y val="0.95269168026101136"/>
            </c:manualLayout>
          </c:layout>
          <c:overlay val="0"/>
          <c:spPr>
            <a:noFill/>
            <a:ln w="15368">
              <a:noFill/>
            </a:ln>
          </c:spPr>
        </c:title>
        <c:numFmt formatCode="General" sourceLinked="1"/>
        <c:majorTickMark val="cross"/>
        <c:minorTickMark val="none"/>
        <c:tickLblPos val="low"/>
        <c:spPr>
          <a:ln w="1921">
            <a:solidFill>
              <a:srgbClr val="000000"/>
            </a:solidFill>
            <a:prstDash val="solid"/>
          </a:ln>
        </c:spPr>
        <c:txPr>
          <a:bodyPr rot="0" vert="horz"/>
          <a:lstStyle/>
          <a:p>
            <a:pPr>
              <a:defRPr sz="605" b="0" i="0" u="none" strike="noStrike" baseline="0">
                <a:solidFill>
                  <a:srgbClr val="000000"/>
                </a:solidFill>
                <a:latin typeface="Times New Roman"/>
                <a:ea typeface="Times New Roman"/>
                <a:cs typeface="Times New Roman"/>
              </a:defRPr>
            </a:pPr>
            <a:endParaRPr lang="en-US"/>
          </a:p>
        </c:txPr>
        <c:crossAx val="127783424"/>
        <c:crosses val="autoZero"/>
        <c:auto val="1"/>
        <c:lblAlgn val="ctr"/>
        <c:lblOffset val="100"/>
        <c:tickLblSkip val="2"/>
        <c:tickMarkSkip val="2"/>
        <c:noMultiLvlLbl val="0"/>
      </c:catAx>
      <c:valAx>
        <c:axId val="127783424"/>
        <c:scaling>
          <c:orientation val="minMax"/>
        </c:scaling>
        <c:delete val="0"/>
        <c:axPos val="r"/>
        <c:majorGridlines>
          <c:spPr>
            <a:ln w="1921">
              <a:solidFill>
                <a:srgbClr val="000000"/>
              </a:solidFill>
              <a:prstDash val="solid"/>
            </a:ln>
          </c:spPr>
        </c:majorGridlines>
        <c:title>
          <c:tx>
            <c:rich>
              <a:bodyPr/>
              <a:lstStyle/>
              <a:p>
                <a:pPr>
                  <a:defRPr sz="726" b="0" i="0" u="none" strike="noStrike" baseline="0">
                    <a:solidFill>
                      <a:srgbClr val="000000"/>
                    </a:solidFill>
                    <a:latin typeface="Times New Roman"/>
                    <a:ea typeface="Times New Roman"/>
                    <a:cs typeface="Times New Roman"/>
                  </a:defRPr>
                </a:pPr>
                <a:r>
                  <a:rPr lang="en-CA"/>
                  <a:t>Melting Point (K)</a:t>
                </a:r>
              </a:p>
            </c:rich>
          </c:tx>
          <c:layout>
            <c:manualLayout>
              <c:xMode val="edge"/>
              <c:yMode val="edge"/>
              <c:x val="9.9889012208657056E-3"/>
              <c:y val="0.2805872756933116"/>
            </c:manualLayout>
          </c:layout>
          <c:overlay val="0"/>
          <c:spPr>
            <a:noFill/>
            <a:ln w="15368">
              <a:noFill/>
            </a:ln>
          </c:spPr>
        </c:title>
        <c:numFmt formatCode="General" sourceLinked="1"/>
        <c:majorTickMark val="cross"/>
        <c:minorTickMark val="none"/>
        <c:tickLblPos val="low"/>
        <c:spPr>
          <a:ln w="1921">
            <a:solidFill>
              <a:srgbClr val="000000"/>
            </a:solidFill>
            <a:prstDash val="solid"/>
          </a:ln>
        </c:spPr>
        <c:txPr>
          <a:bodyPr rot="0" vert="horz"/>
          <a:lstStyle/>
          <a:p>
            <a:pPr>
              <a:defRPr sz="726" b="0" i="0" u="none" strike="noStrike" baseline="0">
                <a:solidFill>
                  <a:srgbClr val="000000"/>
                </a:solidFill>
                <a:latin typeface="Times New Roman"/>
                <a:ea typeface="Times New Roman"/>
                <a:cs typeface="Times New Roman"/>
              </a:defRPr>
            </a:pPr>
            <a:endParaRPr lang="en-US"/>
          </a:p>
        </c:txPr>
        <c:crossAx val="205997056"/>
        <c:crosses val="max"/>
        <c:crossBetween val="midCat"/>
        <c:majorUnit val="200"/>
      </c:valAx>
      <c:spPr>
        <a:noFill/>
        <a:ln w="7684">
          <a:solidFill>
            <a:srgbClr val="808080"/>
          </a:solidFill>
          <a:prstDash val="solid"/>
        </a:ln>
      </c:spPr>
    </c:plotArea>
    <c:plotVisOnly val="1"/>
    <c:dispBlanksAs val="gap"/>
    <c:showDLblsOverMax val="0"/>
  </c:chart>
  <c:spPr>
    <a:noFill/>
    <a:ln>
      <a:noFill/>
    </a:ln>
  </c:spPr>
  <c:txPr>
    <a:bodyPr/>
    <a:lstStyle/>
    <a:p>
      <a:pPr>
        <a:defRPr sz="726"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9" b="0" i="0" u="none" strike="noStrike" baseline="0">
                <a:solidFill>
                  <a:srgbClr val="000000"/>
                </a:solidFill>
                <a:latin typeface="Times New Roman"/>
                <a:ea typeface="Times New Roman"/>
                <a:cs typeface="Times New Roman"/>
              </a:defRPr>
            </a:pPr>
            <a:r>
              <a:rPr lang="en-CA"/>
              <a:t>Atomic number versus Boiling Point</a:t>
            </a:r>
          </a:p>
        </c:rich>
      </c:tx>
      <c:layout>
        <c:manualLayout>
          <c:xMode val="edge"/>
          <c:yMode val="edge"/>
          <c:x val="0.31076581576026635"/>
          <c:y val="1.6313213703099511E-3"/>
        </c:manualLayout>
      </c:layout>
      <c:overlay val="0"/>
      <c:spPr>
        <a:noFill/>
        <a:ln w="13820">
          <a:noFill/>
        </a:ln>
      </c:spPr>
    </c:title>
    <c:autoTitleDeleted val="0"/>
    <c:plotArea>
      <c:layout>
        <c:manualLayout>
          <c:layoutTarget val="inner"/>
          <c:xMode val="edge"/>
          <c:yMode val="edge"/>
          <c:x val="9.9889012208657049E-2"/>
          <c:y val="9.1353996737357265E-2"/>
          <c:w val="0.88235294117647056"/>
          <c:h val="0.78466557911908641"/>
        </c:manualLayout>
      </c:layout>
      <c:lineChart>
        <c:grouping val="standard"/>
        <c:varyColors val="0"/>
        <c:ser>
          <c:idx val="1"/>
          <c:order val="0"/>
          <c:spPr>
            <a:ln w="15875">
              <a:solidFill>
                <a:schemeClr val="tx1"/>
              </a:solidFill>
              <a:prstDash val="solid"/>
            </a:ln>
          </c:spPr>
          <c:marker>
            <c:symbol val="square"/>
            <c:size val="2"/>
            <c:spPr>
              <a:solidFill>
                <a:schemeClr val="tx1"/>
              </a:solidFill>
              <a:ln>
                <a:solidFill>
                  <a:schemeClr val="tx1"/>
                </a:solidFill>
                <a:prstDash val="solid"/>
              </a:ln>
            </c:spPr>
          </c:marker>
          <c:cat>
            <c:numRef>
              <c:f>Data!$A$2:$A$90</c:f>
              <c:numCache>
                <c:formatCode>General</c:formatCode>
                <c:ptCount val="8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numCache>
            </c:numRef>
          </c:cat>
          <c:val>
            <c:numRef>
              <c:f>Data!$G$2:$G$90</c:f>
              <c:numCache>
                <c:formatCode>General</c:formatCode>
                <c:ptCount val="89"/>
                <c:pt idx="0">
                  <c:v>-252.8</c:v>
                </c:pt>
                <c:pt idx="1">
                  <c:v>-268.89999999999998</c:v>
                </c:pt>
                <c:pt idx="2">
                  <c:v>1342</c:v>
                </c:pt>
                <c:pt idx="3">
                  <c:v>2472</c:v>
                </c:pt>
                <c:pt idx="4">
                  <c:v>4002</c:v>
                </c:pt>
                <c:pt idx="5">
                  <c:v>4827</c:v>
                </c:pt>
                <c:pt idx="6">
                  <c:v>-195.8</c:v>
                </c:pt>
                <c:pt idx="7">
                  <c:v>-183</c:v>
                </c:pt>
                <c:pt idx="8">
                  <c:v>-188.1</c:v>
                </c:pt>
                <c:pt idx="9">
                  <c:v>-245.9</c:v>
                </c:pt>
                <c:pt idx="10">
                  <c:v>883</c:v>
                </c:pt>
                <c:pt idx="11">
                  <c:v>1090</c:v>
                </c:pt>
                <c:pt idx="12">
                  <c:v>2520</c:v>
                </c:pt>
                <c:pt idx="13">
                  <c:v>3267</c:v>
                </c:pt>
                <c:pt idx="14">
                  <c:v>280</c:v>
                </c:pt>
                <c:pt idx="15">
                  <c:v>444.7</c:v>
                </c:pt>
                <c:pt idx="16">
                  <c:v>-34</c:v>
                </c:pt>
                <c:pt idx="17">
                  <c:v>-185.8</c:v>
                </c:pt>
                <c:pt idx="18">
                  <c:v>759</c:v>
                </c:pt>
                <c:pt idx="19">
                  <c:v>1494</c:v>
                </c:pt>
                <c:pt idx="20">
                  <c:v>2836</c:v>
                </c:pt>
                <c:pt idx="21">
                  <c:v>3289</c:v>
                </c:pt>
                <c:pt idx="22">
                  <c:v>3409</c:v>
                </c:pt>
                <c:pt idx="23">
                  <c:v>2672</c:v>
                </c:pt>
                <c:pt idx="24">
                  <c:v>2062</c:v>
                </c:pt>
                <c:pt idx="25">
                  <c:v>2862</c:v>
                </c:pt>
                <c:pt idx="26">
                  <c:v>2928</c:v>
                </c:pt>
                <c:pt idx="27">
                  <c:v>2914</c:v>
                </c:pt>
                <c:pt idx="28">
                  <c:v>2563</c:v>
                </c:pt>
                <c:pt idx="29">
                  <c:v>907</c:v>
                </c:pt>
                <c:pt idx="30">
                  <c:v>2205</c:v>
                </c:pt>
                <c:pt idx="31">
                  <c:v>2834</c:v>
                </c:pt>
                <c:pt idx="32">
                  <c:v>615</c:v>
                </c:pt>
                <c:pt idx="33">
                  <c:v>685</c:v>
                </c:pt>
                <c:pt idx="34">
                  <c:v>58.8</c:v>
                </c:pt>
                <c:pt idx="35">
                  <c:v>-153</c:v>
                </c:pt>
                <c:pt idx="36">
                  <c:v>688</c:v>
                </c:pt>
                <c:pt idx="37">
                  <c:v>1382</c:v>
                </c:pt>
                <c:pt idx="38">
                  <c:v>3338</c:v>
                </c:pt>
                <c:pt idx="39">
                  <c:v>4409</c:v>
                </c:pt>
                <c:pt idx="40">
                  <c:v>4744</c:v>
                </c:pt>
                <c:pt idx="41">
                  <c:v>4639</c:v>
                </c:pt>
                <c:pt idx="42">
                  <c:v>4265</c:v>
                </c:pt>
                <c:pt idx="43">
                  <c:v>4150</c:v>
                </c:pt>
                <c:pt idx="44">
                  <c:v>3697</c:v>
                </c:pt>
                <c:pt idx="45">
                  <c:v>2964</c:v>
                </c:pt>
                <c:pt idx="46">
                  <c:v>2163</c:v>
                </c:pt>
                <c:pt idx="47">
                  <c:v>767</c:v>
                </c:pt>
                <c:pt idx="48">
                  <c:v>2073</c:v>
                </c:pt>
                <c:pt idx="49">
                  <c:v>2603</c:v>
                </c:pt>
                <c:pt idx="50">
                  <c:v>1587</c:v>
                </c:pt>
                <c:pt idx="51">
                  <c:v>988</c:v>
                </c:pt>
                <c:pt idx="52">
                  <c:v>184.4</c:v>
                </c:pt>
                <c:pt idx="53">
                  <c:v>-108</c:v>
                </c:pt>
                <c:pt idx="54">
                  <c:v>671</c:v>
                </c:pt>
                <c:pt idx="55">
                  <c:v>1805</c:v>
                </c:pt>
                <c:pt idx="56">
                  <c:v>3464</c:v>
                </c:pt>
                <c:pt idx="57">
                  <c:v>3443</c:v>
                </c:pt>
                <c:pt idx="58">
                  <c:v>3520</c:v>
                </c:pt>
                <c:pt idx="59">
                  <c:v>3074</c:v>
                </c:pt>
                <c:pt idx="60">
                  <c:v>3000</c:v>
                </c:pt>
                <c:pt idx="61">
                  <c:v>1794</c:v>
                </c:pt>
                <c:pt idx="62">
                  <c:v>1527</c:v>
                </c:pt>
                <c:pt idx="63">
                  <c:v>3273</c:v>
                </c:pt>
                <c:pt idx="64">
                  <c:v>3230</c:v>
                </c:pt>
                <c:pt idx="65">
                  <c:v>2567</c:v>
                </c:pt>
                <c:pt idx="66">
                  <c:v>2700</c:v>
                </c:pt>
                <c:pt idx="67">
                  <c:v>2868</c:v>
                </c:pt>
                <c:pt idx="68">
                  <c:v>1950</c:v>
                </c:pt>
                <c:pt idx="69">
                  <c:v>1196</c:v>
                </c:pt>
                <c:pt idx="70">
                  <c:v>3402</c:v>
                </c:pt>
                <c:pt idx="71">
                  <c:v>4603</c:v>
                </c:pt>
                <c:pt idx="72">
                  <c:v>5458</c:v>
                </c:pt>
                <c:pt idx="73">
                  <c:v>5555</c:v>
                </c:pt>
                <c:pt idx="74">
                  <c:v>5596</c:v>
                </c:pt>
                <c:pt idx="75">
                  <c:v>5012</c:v>
                </c:pt>
                <c:pt idx="76">
                  <c:v>4428</c:v>
                </c:pt>
                <c:pt idx="77">
                  <c:v>3827</c:v>
                </c:pt>
                <c:pt idx="78">
                  <c:v>2857</c:v>
                </c:pt>
                <c:pt idx="79">
                  <c:v>356.6</c:v>
                </c:pt>
                <c:pt idx="80">
                  <c:v>1473</c:v>
                </c:pt>
                <c:pt idx="81">
                  <c:v>1750</c:v>
                </c:pt>
                <c:pt idx="82">
                  <c:v>1564</c:v>
                </c:pt>
                <c:pt idx="83">
                  <c:v>962</c:v>
                </c:pt>
                <c:pt idx="84">
                  <c:v>370</c:v>
                </c:pt>
                <c:pt idx="85">
                  <c:v>-61.8</c:v>
                </c:pt>
                <c:pt idx="86">
                  <c:v>677</c:v>
                </c:pt>
                <c:pt idx="87">
                  <c:v>1140</c:v>
                </c:pt>
                <c:pt idx="88">
                  <c:v>3200</c:v>
                </c:pt>
              </c:numCache>
            </c:numRef>
          </c:val>
          <c:smooth val="0"/>
        </c:ser>
        <c:dLbls>
          <c:showLegendKey val="0"/>
          <c:showVal val="0"/>
          <c:showCatName val="0"/>
          <c:showSerName val="0"/>
          <c:showPercent val="0"/>
          <c:showBubbleSize val="0"/>
        </c:dLbls>
        <c:marker val="1"/>
        <c:smooth val="0"/>
        <c:axId val="145858560"/>
        <c:axId val="225516864"/>
      </c:lineChart>
      <c:catAx>
        <c:axId val="145858560"/>
        <c:scaling>
          <c:orientation val="minMax"/>
        </c:scaling>
        <c:delete val="0"/>
        <c:axPos val="b"/>
        <c:majorGridlines>
          <c:spPr>
            <a:ln w="1728">
              <a:solidFill>
                <a:srgbClr val="000000"/>
              </a:solidFill>
              <a:prstDash val="solid"/>
            </a:ln>
          </c:spPr>
        </c:majorGridlines>
        <c:title>
          <c:tx>
            <c:rich>
              <a:bodyPr/>
              <a:lstStyle/>
              <a:p>
                <a:pPr>
                  <a:defRPr sz="653" b="0" i="0" u="none" strike="noStrike" baseline="0">
                    <a:solidFill>
                      <a:srgbClr val="000000"/>
                    </a:solidFill>
                    <a:latin typeface="Times New Roman"/>
                    <a:ea typeface="Times New Roman"/>
                    <a:cs typeface="Times New Roman"/>
                  </a:defRPr>
                </a:pPr>
                <a:r>
                  <a:rPr lang="en-CA"/>
                  <a:t>Atomic Number</a:t>
                </a:r>
              </a:p>
            </c:rich>
          </c:tx>
          <c:layout>
            <c:manualLayout>
              <c:xMode val="edge"/>
              <c:yMode val="edge"/>
              <c:x val="0.48279689234184242"/>
              <c:y val="0.9216965742251223"/>
            </c:manualLayout>
          </c:layout>
          <c:overlay val="0"/>
          <c:spPr>
            <a:noFill/>
            <a:ln w="13820">
              <a:noFill/>
            </a:ln>
          </c:spPr>
        </c:title>
        <c:numFmt formatCode="General" sourceLinked="1"/>
        <c:majorTickMark val="cross"/>
        <c:minorTickMark val="none"/>
        <c:tickLblPos val="low"/>
        <c:spPr>
          <a:ln w="1728">
            <a:solidFill>
              <a:srgbClr val="000000"/>
            </a:solidFill>
            <a:prstDash val="solid"/>
          </a:ln>
        </c:spPr>
        <c:txPr>
          <a:bodyPr rot="0" vert="horz"/>
          <a:lstStyle/>
          <a:p>
            <a:pPr>
              <a:defRPr sz="544" b="0" i="0" u="none" strike="noStrike" baseline="0">
                <a:solidFill>
                  <a:srgbClr val="000000"/>
                </a:solidFill>
                <a:latin typeface="Times New Roman"/>
                <a:ea typeface="Times New Roman"/>
                <a:cs typeface="Times New Roman"/>
              </a:defRPr>
            </a:pPr>
            <a:endParaRPr lang="en-US"/>
          </a:p>
        </c:txPr>
        <c:crossAx val="225516864"/>
        <c:crosses val="autoZero"/>
        <c:auto val="1"/>
        <c:lblAlgn val="ctr"/>
        <c:lblOffset val="100"/>
        <c:tickLblSkip val="2"/>
        <c:tickMarkSkip val="2"/>
        <c:noMultiLvlLbl val="0"/>
      </c:catAx>
      <c:valAx>
        <c:axId val="225516864"/>
        <c:scaling>
          <c:orientation val="minMax"/>
        </c:scaling>
        <c:delete val="0"/>
        <c:axPos val="r"/>
        <c:majorGridlines>
          <c:spPr>
            <a:ln w="1728">
              <a:solidFill>
                <a:srgbClr val="000000"/>
              </a:solidFill>
              <a:prstDash val="solid"/>
            </a:ln>
          </c:spPr>
        </c:majorGridlines>
        <c:title>
          <c:tx>
            <c:rich>
              <a:bodyPr/>
              <a:lstStyle/>
              <a:p>
                <a:pPr>
                  <a:defRPr sz="653" b="0" i="0" u="none" strike="noStrike" baseline="0">
                    <a:solidFill>
                      <a:srgbClr val="000000"/>
                    </a:solidFill>
                    <a:latin typeface="Times New Roman"/>
                    <a:ea typeface="Times New Roman"/>
                    <a:cs typeface="Times New Roman"/>
                  </a:defRPr>
                </a:pPr>
                <a:r>
                  <a:rPr lang="en-CA"/>
                  <a:t>Boiling Point (K)</a:t>
                </a:r>
              </a:p>
            </c:rich>
          </c:tx>
          <c:layout>
            <c:manualLayout>
              <c:xMode val="edge"/>
              <c:yMode val="edge"/>
              <c:x val="1.5538290788013319E-2"/>
              <c:y val="0.35889070146818924"/>
            </c:manualLayout>
          </c:layout>
          <c:overlay val="0"/>
          <c:spPr>
            <a:noFill/>
            <a:ln w="13820">
              <a:noFill/>
            </a:ln>
          </c:spPr>
        </c:title>
        <c:numFmt formatCode="General" sourceLinked="1"/>
        <c:majorTickMark val="out"/>
        <c:minorTickMark val="none"/>
        <c:tickLblPos val="low"/>
        <c:spPr>
          <a:ln w="1728">
            <a:solidFill>
              <a:srgbClr val="000000"/>
            </a:solidFill>
            <a:prstDash val="solid"/>
          </a:ln>
        </c:spPr>
        <c:txPr>
          <a:bodyPr rot="0" vert="horz"/>
          <a:lstStyle/>
          <a:p>
            <a:pPr>
              <a:defRPr sz="653" b="0" i="0" u="none" strike="noStrike" baseline="0">
                <a:solidFill>
                  <a:srgbClr val="000000"/>
                </a:solidFill>
                <a:latin typeface="Times New Roman"/>
                <a:ea typeface="Times New Roman"/>
                <a:cs typeface="Times New Roman"/>
              </a:defRPr>
            </a:pPr>
            <a:endParaRPr lang="en-US"/>
          </a:p>
        </c:txPr>
        <c:crossAx val="145858560"/>
        <c:crosses val="max"/>
        <c:crossBetween val="midCat"/>
        <c:majorUnit val="250"/>
      </c:valAx>
      <c:spPr>
        <a:noFill/>
        <a:ln w="6910">
          <a:solidFill>
            <a:srgbClr val="808080"/>
          </a:solidFill>
          <a:prstDash val="solid"/>
        </a:ln>
      </c:spPr>
    </c:plotArea>
    <c:plotVisOnly val="1"/>
    <c:dispBlanksAs val="gap"/>
    <c:showDLblsOverMax val="0"/>
  </c:chart>
  <c:spPr>
    <a:noFill/>
    <a:ln>
      <a:noFill/>
    </a:ln>
  </c:spPr>
  <c:txPr>
    <a:bodyPr/>
    <a:lstStyle/>
    <a:p>
      <a:pPr>
        <a:defRPr sz="653"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Periodic Table:  Trends</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Periodic Table:  Trends</dc:title>
  <dc:creator>James Ravensbergen</dc:creator>
  <cp:lastModifiedBy>Meg Chamberlin</cp:lastModifiedBy>
  <cp:revision>6</cp:revision>
  <cp:lastPrinted>2015-03-04T18:43:00Z</cp:lastPrinted>
  <dcterms:created xsi:type="dcterms:W3CDTF">2014-03-06T18:58:00Z</dcterms:created>
  <dcterms:modified xsi:type="dcterms:W3CDTF">2015-03-04T23:28:00Z</dcterms:modified>
</cp:coreProperties>
</file>