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1D7" w:rsidRDefault="00D311D7" w:rsidP="00D311D7">
      <w:pPr>
        <w:jc w:val="center"/>
        <w:rPr>
          <w:b/>
          <w:sz w:val="36"/>
          <w:u w:val="single"/>
        </w:rPr>
      </w:pPr>
      <w:r>
        <w:rPr>
          <w:b/>
          <w:sz w:val="36"/>
          <w:u w:val="single"/>
        </w:rPr>
        <w:t>Titrations Practice Worksheet</w:t>
      </w:r>
    </w:p>
    <w:p w:rsidR="006D41DE" w:rsidRDefault="00D311D7">
      <w:r>
        <w:rPr>
          <w:noProof/>
          <w:lang w:val="en-CA"/>
        </w:rPr>
        <w:drawing>
          <wp:anchor distT="0" distB="0" distL="114300" distR="114300" simplePos="0" relativeHeight="251658240" behindDoc="0" locked="0" layoutInCell="1" allowOverlap="1" wp14:anchorId="5E20B34F" wp14:editId="278BB884">
            <wp:simplePos x="0" y="0"/>
            <wp:positionH relativeFrom="column">
              <wp:posOffset>914400</wp:posOffset>
            </wp:positionH>
            <wp:positionV relativeFrom="paragraph">
              <wp:align>top</wp:align>
            </wp:positionV>
            <wp:extent cx="4448175" cy="5762625"/>
            <wp:effectExtent l="0" t="0" r="9525" b="9525"/>
            <wp:wrapSquare wrapText="bothSides"/>
            <wp:docPr id="1" name="Picture 1" descr="http://chemwiki.ucdavis.edu/@api/deki/files/462/new_bur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mwiki.ucdavis.edu/@api/deki/files/462/new_buret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8175" cy="5762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11D7" w:rsidRDefault="00D311D7"/>
    <w:p w:rsidR="00506379" w:rsidRDefault="00D311D7" w:rsidP="00D311D7">
      <w:pPr>
        <w:rPr>
          <w:szCs w:val="24"/>
        </w:rPr>
      </w:pPr>
      <w:r>
        <w:rPr>
          <w:b/>
          <w:sz w:val="36"/>
          <w:u w:val="single"/>
        </w:rPr>
        <w:br w:type="textWrapping" w:clear="all"/>
      </w:r>
    </w:p>
    <w:p w:rsidR="00506379" w:rsidRDefault="00506379" w:rsidP="00D311D7">
      <w:pPr>
        <w:rPr>
          <w:szCs w:val="24"/>
        </w:rPr>
      </w:pPr>
    </w:p>
    <w:p w:rsidR="00D311D7" w:rsidRDefault="00D311D7" w:rsidP="00D311D7">
      <w:pPr>
        <w:rPr>
          <w:szCs w:val="24"/>
        </w:rPr>
      </w:pPr>
      <w:r>
        <w:rPr>
          <w:szCs w:val="24"/>
        </w:rPr>
        <w:t xml:space="preserve">A </w:t>
      </w:r>
      <w:r>
        <w:rPr>
          <w:b/>
          <w:szCs w:val="24"/>
        </w:rPr>
        <w:t>titration</w:t>
      </w:r>
      <w:r>
        <w:rPr>
          <w:szCs w:val="24"/>
        </w:rPr>
        <w:t xml:space="preserve"> is a quantitative analysis used to determine the concentration of an unknown solution, by reacting and neutralizing it with another solution of known concentration.  Because we can determine the stoichiometric ratios of neutralization, we can use this information to calculate the number of moles of our unknown substance.</w:t>
      </w:r>
    </w:p>
    <w:p w:rsidR="00D311D7" w:rsidRDefault="00D311D7" w:rsidP="00D311D7">
      <w:pPr>
        <w:pStyle w:val="BodyText"/>
      </w:pPr>
    </w:p>
    <w:p w:rsidR="00D311D7" w:rsidRPr="00506379" w:rsidRDefault="00506379" w:rsidP="00D311D7">
      <w:pPr>
        <w:pStyle w:val="BodyText"/>
      </w:pPr>
      <w:r>
        <w:t xml:space="preserve">The </w:t>
      </w:r>
      <w:r>
        <w:rPr>
          <w:b/>
        </w:rPr>
        <w:t>equivalence point</w:t>
      </w:r>
      <w:r>
        <w:t xml:space="preserve"> occurs when the solutions neutralize each </w:t>
      </w:r>
      <w:proofErr w:type="gramStart"/>
      <w:r>
        <w:t>other,</w:t>
      </w:r>
      <w:proofErr w:type="gramEnd"/>
      <w:r>
        <w:t xml:space="preserve"> and the [H</w:t>
      </w:r>
      <w:r>
        <w:rPr>
          <w:vertAlign w:val="superscript"/>
        </w:rPr>
        <w:t>+</w:t>
      </w:r>
      <w:r>
        <w:t xml:space="preserve">] = </w:t>
      </w:r>
      <w:r>
        <w:t>[</w:t>
      </w:r>
      <w:r>
        <w:t>O</w:t>
      </w:r>
      <w:r>
        <w:t>H</w:t>
      </w:r>
      <w:r>
        <w:rPr>
          <w:vertAlign w:val="superscript"/>
        </w:rPr>
        <w:t>-</w:t>
      </w:r>
      <w:r>
        <w:t xml:space="preserve">].  The </w:t>
      </w:r>
      <w:r>
        <w:rPr>
          <w:b/>
        </w:rPr>
        <w:t>endpoint</w:t>
      </w:r>
      <w:r>
        <w:t xml:space="preserve"> occurs when the indicator changes </w:t>
      </w:r>
      <w:proofErr w:type="spellStart"/>
      <w:r>
        <w:t>colour</w:t>
      </w:r>
      <w:proofErr w:type="spellEnd"/>
      <w:r>
        <w:t xml:space="preserve"> (not always exactly the same as the equivalence point, ex. phenolphthalein changes </w:t>
      </w:r>
      <w:proofErr w:type="spellStart"/>
      <w:r>
        <w:t>colour</w:t>
      </w:r>
      <w:proofErr w:type="spellEnd"/>
      <w:r>
        <w:t xml:space="preserve"> at</w:t>
      </w:r>
      <w:r w:rsidR="00D8297A">
        <w:t xml:space="preserve"> pH</w:t>
      </w:r>
      <w:r>
        <w:t xml:space="preserve"> 8.2, not 7.0).</w:t>
      </w:r>
    </w:p>
    <w:p w:rsidR="00D311D7" w:rsidRDefault="00D311D7" w:rsidP="00D311D7">
      <w:pPr>
        <w:pStyle w:val="BodyText"/>
        <w:rPr>
          <w:i/>
        </w:rPr>
      </w:pPr>
    </w:p>
    <w:p w:rsidR="00D311D7" w:rsidRPr="00D311D7" w:rsidRDefault="00D311D7" w:rsidP="00D311D7">
      <w:pPr>
        <w:pStyle w:val="BodyText"/>
      </w:pPr>
      <w:r>
        <w:lastRenderedPageBreak/>
        <w:t>Practice Problems:</w:t>
      </w:r>
    </w:p>
    <w:p w:rsidR="00D311D7" w:rsidRDefault="00D311D7" w:rsidP="00D311D7">
      <w:pPr>
        <w:pStyle w:val="BodyText"/>
        <w:rPr>
          <w:i/>
        </w:rPr>
      </w:pPr>
    </w:p>
    <w:p w:rsidR="00D311D7" w:rsidRDefault="00D311D7" w:rsidP="00D311D7">
      <w:pPr>
        <w:pStyle w:val="BodyText"/>
        <w:ind w:left="720" w:hanging="720"/>
      </w:pPr>
      <w:r>
        <w:t>1)</w:t>
      </w:r>
      <w:r>
        <w:tab/>
      </w:r>
      <w:bookmarkStart w:id="0" w:name="_GoBack"/>
      <w:bookmarkEnd w:id="0"/>
      <w:r w:rsidR="00506379">
        <w:t>The data from a titration of</w:t>
      </w:r>
      <w:r>
        <w:t xml:space="preserve"> 15mL of a 1.5M solution of </w:t>
      </w:r>
      <w:proofErr w:type="gramStart"/>
      <w:r>
        <w:t>Ba(</w:t>
      </w:r>
      <w:proofErr w:type="gramEnd"/>
      <w:r>
        <w:t>OH)</w:t>
      </w:r>
      <w:r>
        <w:rPr>
          <w:vertAlign w:val="subscript"/>
        </w:rPr>
        <w:t>2</w:t>
      </w:r>
      <w:r>
        <w:t xml:space="preserve"> with an unknown concentration of </w:t>
      </w:r>
      <w:proofErr w:type="spellStart"/>
      <w:r>
        <w:t>HCl</w:t>
      </w:r>
      <w:proofErr w:type="spellEnd"/>
      <w:r>
        <w:t xml:space="preserve"> (</w:t>
      </w:r>
      <w:proofErr w:type="spellStart"/>
      <w:r>
        <w:t>aq</w:t>
      </w:r>
      <w:proofErr w:type="spellEnd"/>
      <w:r>
        <w:t>)</w:t>
      </w:r>
      <w:r>
        <w:t xml:space="preserve"> </w:t>
      </w:r>
      <w:r w:rsidR="00506379">
        <w:t>is shown below</w:t>
      </w:r>
      <w:r>
        <w:t xml:space="preserve">.  Determine the concentration of the </w:t>
      </w:r>
      <w:proofErr w:type="spellStart"/>
      <w:r>
        <w:t>HCl</w:t>
      </w:r>
      <w:proofErr w:type="spellEnd"/>
      <w:r>
        <w:t>.</w:t>
      </w:r>
    </w:p>
    <w:tbl>
      <w:tblPr>
        <w:tblStyle w:val="TableGrid"/>
        <w:tblW w:w="0" w:type="auto"/>
        <w:tblInd w:w="720" w:type="dxa"/>
        <w:tblLook w:val="04A0" w:firstRow="1" w:lastRow="0" w:firstColumn="1" w:lastColumn="0" w:noHBand="0" w:noVBand="1"/>
      </w:tblPr>
      <w:tblGrid>
        <w:gridCol w:w="2221"/>
        <w:gridCol w:w="2211"/>
        <w:gridCol w:w="2212"/>
        <w:gridCol w:w="2212"/>
      </w:tblGrid>
      <w:tr w:rsidR="00506379" w:rsidTr="00506379">
        <w:tc>
          <w:tcPr>
            <w:tcW w:w="2394" w:type="dxa"/>
          </w:tcPr>
          <w:p w:rsidR="00506379" w:rsidRDefault="00506379" w:rsidP="00D311D7">
            <w:pPr>
              <w:pStyle w:val="BodyText"/>
            </w:pPr>
          </w:p>
        </w:tc>
        <w:tc>
          <w:tcPr>
            <w:tcW w:w="2394" w:type="dxa"/>
          </w:tcPr>
          <w:p w:rsidR="00506379" w:rsidRDefault="00506379" w:rsidP="00D311D7">
            <w:pPr>
              <w:pStyle w:val="BodyText"/>
            </w:pPr>
            <w:r>
              <w:t>Trial 1</w:t>
            </w:r>
          </w:p>
        </w:tc>
        <w:tc>
          <w:tcPr>
            <w:tcW w:w="2394" w:type="dxa"/>
          </w:tcPr>
          <w:p w:rsidR="00506379" w:rsidRDefault="00506379" w:rsidP="00D311D7">
            <w:pPr>
              <w:pStyle w:val="BodyText"/>
            </w:pPr>
            <w:r>
              <w:t>Trial 2</w:t>
            </w:r>
          </w:p>
        </w:tc>
        <w:tc>
          <w:tcPr>
            <w:tcW w:w="2394" w:type="dxa"/>
          </w:tcPr>
          <w:p w:rsidR="00506379" w:rsidRDefault="00506379" w:rsidP="00D311D7">
            <w:pPr>
              <w:pStyle w:val="BodyText"/>
            </w:pPr>
            <w:r>
              <w:t>Trial 3</w:t>
            </w:r>
          </w:p>
        </w:tc>
      </w:tr>
      <w:tr w:rsidR="00506379" w:rsidTr="00506379">
        <w:tc>
          <w:tcPr>
            <w:tcW w:w="2394" w:type="dxa"/>
          </w:tcPr>
          <w:p w:rsidR="00506379" w:rsidRDefault="00506379" w:rsidP="00D311D7">
            <w:pPr>
              <w:pStyle w:val="BodyText"/>
            </w:pPr>
            <w:r>
              <w:t>Final</w:t>
            </w:r>
          </w:p>
        </w:tc>
        <w:tc>
          <w:tcPr>
            <w:tcW w:w="2394" w:type="dxa"/>
          </w:tcPr>
          <w:p w:rsidR="00506379" w:rsidRDefault="00506379" w:rsidP="00D311D7">
            <w:pPr>
              <w:pStyle w:val="BodyText"/>
            </w:pPr>
            <w:r>
              <w:t>7.0</w:t>
            </w:r>
          </w:p>
        </w:tc>
        <w:tc>
          <w:tcPr>
            <w:tcW w:w="2394" w:type="dxa"/>
          </w:tcPr>
          <w:p w:rsidR="00506379" w:rsidRDefault="00506379" w:rsidP="00D311D7">
            <w:pPr>
              <w:pStyle w:val="BodyText"/>
            </w:pPr>
            <w:r>
              <w:t>14.9</w:t>
            </w:r>
          </w:p>
        </w:tc>
        <w:tc>
          <w:tcPr>
            <w:tcW w:w="2394" w:type="dxa"/>
          </w:tcPr>
          <w:p w:rsidR="00506379" w:rsidRDefault="00506379" w:rsidP="00D311D7">
            <w:pPr>
              <w:pStyle w:val="BodyText"/>
            </w:pPr>
            <w:r>
              <w:t>21.8</w:t>
            </w:r>
          </w:p>
        </w:tc>
      </w:tr>
      <w:tr w:rsidR="00506379" w:rsidTr="00506379">
        <w:tc>
          <w:tcPr>
            <w:tcW w:w="2394" w:type="dxa"/>
          </w:tcPr>
          <w:p w:rsidR="00506379" w:rsidRDefault="00506379" w:rsidP="00D311D7">
            <w:pPr>
              <w:pStyle w:val="BodyText"/>
            </w:pPr>
            <w:r>
              <w:t>Initial</w:t>
            </w:r>
          </w:p>
        </w:tc>
        <w:tc>
          <w:tcPr>
            <w:tcW w:w="2394" w:type="dxa"/>
          </w:tcPr>
          <w:p w:rsidR="00506379" w:rsidRDefault="00506379" w:rsidP="00D311D7">
            <w:pPr>
              <w:pStyle w:val="BodyText"/>
            </w:pPr>
            <w:r>
              <w:t>0.0</w:t>
            </w:r>
          </w:p>
        </w:tc>
        <w:tc>
          <w:tcPr>
            <w:tcW w:w="2394" w:type="dxa"/>
          </w:tcPr>
          <w:p w:rsidR="00506379" w:rsidRDefault="00506379" w:rsidP="00D311D7">
            <w:pPr>
              <w:pStyle w:val="BodyText"/>
            </w:pPr>
            <w:r>
              <w:t>7.0</w:t>
            </w:r>
          </w:p>
        </w:tc>
        <w:tc>
          <w:tcPr>
            <w:tcW w:w="2394" w:type="dxa"/>
          </w:tcPr>
          <w:p w:rsidR="00506379" w:rsidRDefault="00506379" w:rsidP="00D311D7">
            <w:pPr>
              <w:pStyle w:val="BodyText"/>
            </w:pPr>
            <w:r>
              <w:t>14.9</w:t>
            </w:r>
          </w:p>
        </w:tc>
      </w:tr>
      <w:tr w:rsidR="00506379" w:rsidTr="00506379">
        <w:tc>
          <w:tcPr>
            <w:tcW w:w="2394" w:type="dxa"/>
          </w:tcPr>
          <w:p w:rsidR="00506379" w:rsidRDefault="00506379" w:rsidP="00D311D7">
            <w:pPr>
              <w:pStyle w:val="BodyText"/>
            </w:pPr>
            <w:r>
              <w:t>Total</w:t>
            </w:r>
          </w:p>
        </w:tc>
        <w:tc>
          <w:tcPr>
            <w:tcW w:w="2394" w:type="dxa"/>
          </w:tcPr>
          <w:p w:rsidR="00506379" w:rsidRDefault="00506379" w:rsidP="00D311D7">
            <w:pPr>
              <w:pStyle w:val="BodyText"/>
            </w:pPr>
          </w:p>
        </w:tc>
        <w:tc>
          <w:tcPr>
            <w:tcW w:w="2394" w:type="dxa"/>
          </w:tcPr>
          <w:p w:rsidR="00506379" w:rsidRDefault="00506379" w:rsidP="00D311D7">
            <w:pPr>
              <w:pStyle w:val="BodyText"/>
            </w:pPr>
          </w:p>
        </w:tc>
        <w:tc>
          <w:tcPr>
            <w:tcW w:w="2394" w:type="dxa"/>
          </w:tcPr>
          <w:p w:rsidR="00506379" w:rsidRDefault="00506379" w:rsidP="00D311D7">
            <w:pPr>
              <w:pStyle w:val="BodyText"/>
            </w:pPr>
          </w:p>
        </w:tc>
      </w:tr>
    </w:tbl>
    <w:p w:rsidR="00506379" w:rsidRPr="00D311D7" w:rsidRDefault="00506379" w:rsidP="00D311D7">
      <w:pPr>
        <w:pStyle w:val="BodyText"/>
        <w:ind w:left="720" w:hanging="720"/>
      </w:pPr>
    </w:p>
    <w:p w:rsidR="00D311D7" w:rsidRDefault="00D311D7" w:rsidP="00D311D7">
      <w:pPr>
        <w:pStyle w:val="BodyText"/>
        <w:ind w:left="720" w:hanging="720"/>
      </w:pPr>
    </w:p>
    <w:p w:rsidR="00D311D7" w:rsidRDefault="00D311D7" w:rsidP="00D311D7">
      <w:pPr>
        <w:pStyle w:val="BodyText"/>
        <w:ind w:left="720" w:hanging="720"/>
      </w:pPr>
    </w:p>
    <w:p w:rsidR="00D311D7" w:rsidRDefault="00D311D7" w:rsidP="00D311D7">
      <w:pPr>
        <w:pStyle w:val="BodyText"/>
        <w:ind w:left="720" w:hanging="720"/>
      </w:pPr>
    </w:p>
    <w:p w:rsidR="00D311D7" w:rsidRDefault="00D311D7" w:rsidP="00D311D7">
      <w:pPr>
        <w:pStyle w:val="BodyText"/>
        <w:ind w:left="720" w:hanging="720"/>
      </w:pPr>
    </w:p>
    <w:p w:rsidR="00D311D7" w:rsidRDefault="00D311D7" w:rsidP="00D311D7">
      <w:pPr>
        <w:pStyle w:val="BodyText"/>
        <w:ind w:left="720" w:hanging="720"/>
      </w:pPr>
    </w:p>
    <w:p w:rsidR="00D311D7" w:rsidRDefault="00D311D7" w:rsidP="006E42A0">
      <w:pPr>
        <w:pStyle w:val="BodyText"/>
      </w:pPr>
    </w:p>
    <w:p w:rsidR="006E42A0" w:rsidRDefault="006E42A0" w:rsidP="006E42A0">
      <w:pPr>
        <w:pStyle w:val="BodyText"/>
      </w:pPr>
    </w:p>
    <w:p w:rsidR="006E42A0" w:rsidRDefault="006E42A0" w:rsidP="006E42A0">
      <w:pPr>
        <w:pStyle w:val="BodyText"/>
      </w:pPr>
    </w:p>
    <w:p w:rsidR="006E42A0" w:rsidRDefault="006E42A0" w:rsidP="006E42A0">
      <w:pPr>
        <w:pStyle w:val="BodyText"/>
      </w:pPr>
    </w:p>
    <w:p w:rsidR="00D311D7" w:rsidRDefault="00D311D7" w:rsidP="00D311D7">
      <w:pPr>
        <w:pStyle w:val="BodyText"/>
        <w:ind w:left="720" w:hanging="720"/>
      </w:pPr>
    </w:p>
    <w:p w:rsidR="00D311D7" w:rsidRDefault="00D311D7" w:rsidP="00D311D7">
      <w:pPr>
        <w:pStyle w:val="BodyText"/>
        <w:ind w:left="720" w:hanging="720"/>
      </w:pPr>
      <w:r>
        <w:t>2)</w:t>
      </w:r>
      <w:r>
        <w:tab/>
        <w:t xml:space="preserve">If it takes 25 mL of 0.05 M </w:t>
      </w:r>
      <w:proofErr w:type="spellStart"/>
      <w:r>
        <w:t>HCl</w:t>
      </w:r>
      <w:proofErr w:type="spellEnd"/>
      <w:r>
        <w:t xml:space="preserve"> to neutralize 345 mL of </w:t>
      </w:r>
      <w:proofErr w:type="spellStart"/>
      <w:r>
        <w:t>NaOH</w:t>
      </w:r>
      <w:proofErr w:type="spellEnd"/>
      <w:r>
        <w:t xml:space="preserve"> solution, what is the concentration of the </w:t>
      </w:r>
      <w:proofErr w:type="spellStart"/>
      <w:r>
        <w:t>NaOH</w:t>
      </w:r>
      <w:proofErr w:type="spellEnd"/>
      <w:r>
        <w:t xml:space="preserve"> solution?</w:t>
      </w:r>
    </w:p>
    <w:p w:rsidR="00D311D7" w:rsidRDefault="00D311D7" w:rsidP="00D311D7">
      <w:pPr>
        <w:pStyle w:val="BodyText"/>
        <w:ind w:left="720" w:hanging="720"/>
      </w:pPr>
    </w:p>
    <w:p w:rsidR="00D311D7" w:rsidRDefault="00D311D7" w:rsidP="00D311D7">
      <w:pPr>
        <w:pStyle w:val="BodyText"/>
        <w:ind w:left="720" w:hanging="720"/>
      </w:pPr>
    </w:p>
    <w:p w:rsidR="00D311D7" w:rsidRDefault="00D311D7" w:rsidP="00D311D7">
      <w:pPr>
        <w:pStyle w:val="BodyText"/>
        <w:ind w:left="720" w:hanging="720"/>
      </w:pPr>
    </w:p>
    <w:p w:rsidR="00D311D7" w:rsidRDefault="00D311D7" w:rsidP="00D311D7">
      <w:pPr>
        <w:pStyle w:val="BodyText"/>
        <w:ind w:left="720" w:hanging="720"/>
      </w:pPr>
    </w:p>
    <w:p w:rsidR="00D311D7" w:rsidRDefault="00D311D7" w:rsidP="00D311D7">
      <w:pPr>
        <w:pStyle w:val="BodyText"/>
        <w:ind w:left="720" w:hanging="720"/>
      </w:pPr>
    </w:p>
    <w:p w:rsidR="00D311D7" w:rsidRDefault="00D311D7" w:rsidP="00D311D7">
      <w:pPr>
        <w:pStyle w:val="BodyText"/>
        <w:ind w:left="720" w:hanging="720"/>
      </w:pPr>
    </w:p>
    <w:p w:rsidR="00D311D7" w:rsidRDefault="00D311D7" w:rsidP="00D311D7">
      <w:pPr>
        <w:pStyle w:val="BodyText"/>
        <w:ind w:left="720" w:hanging="720"/>
      </w:pPr>
    </w:p>
    <w:p w:rsidR="00D311D7" w:rsidRDefault="00D311D7" w:rsidP="00D311D7">
      <w:pPr>
        <w:pStyle w:val="BodyText"/>
        <w:ind w:left="720" w:hanging="720"/>
      </w:pPr>
    </w:p>
    <w:p w:rsidR="00D311D7" w:rsidRDefault="00D311D7"/>
    <w:p w:rsidR="003679EC" w:rsidRDefault="003679EC" w:rsidP="003679EC">
      <w:pPr>
        <w:pStyle w:val="BodyText"/>
      </w:pPr>
    </w:p>
    <w:p w:rsidR="003679EC" w:rsidRDefault="003679EC" w:rsidP="003679EC">
      <w:pPr>
        <w:pStyle w:val="BodyText"/>
      </w:pPr>
    </w:p>
    <w:p w:rsidR="003679EC" w:rsidRPr="003679EC" w:rsidRDefault="003679EC" w:rsidP="003679EC">
      <w:pPr>
        <w:pStyle w:val="BodyText"/>
      </w:pPr>
      <w:r>
        <w:t>Homework: Workbook pg. 399 #1</w:t>
      </w:r>
      <w:proofErr w:type="gramStart"/>
      <w:r>
        <w:t>,2,5,9,10</w:t>
      </w:r>
      <w:proofErr w:type="gramEnd"/>
    </w:p>
    <w:sectPr w:rsidR="003679EC" w:rsidRPr="003679E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C84" w:rsidRDefault="00E35C84" w:rsidP="00D311D7">
      <w:r>
        <w:separator/>
      </w:r>
    </w:p>
  </w:endnote>
  <w:endnote w:type="continuationSeparator" w:id="0">
    <w:p w:rsidR="00E35C84" w:rsidRDefault="00E35C84" w:rsidP="00D3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C84" w:rsidRDefault="00E35C84" w:rsidP="00D311D7">
      <w:r>
        <w:separator/>
      </w:r>
    </w:p>
  </w:footnote>
  <w:footnote w:type="continuationSeparator" w:id="0">
    <w:p w:rsidR="00E35C84" w:rsidRDefault="00E35C84" w:rsidP="00D31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D7" w:rsidRDefault="00D311D7">
    <w:pPr>
      <w:pStyle w:val="Header"/>
    </w:pPr>
    <w:r>
      <w:t>Chemistry 11</w:t>
    </w:r>
    <w:r>
      <w:tab/>
    </w:r>
    <w:r>
      <w:tab/>
      <w:t xml:space="preserve">Unit V </w:t>
    </w:r>
    <w:r w:rsidR="003679EC">
      <w:t>–</w:t>
    </w:r>
    <w:r>
      <w:t xml:space="preserve"> Solutions</w:t>
    </w:r>
  </w:p>
  <w:p w:rsidR="003679EC" w:rsidRDefault="003679EC">
    <w:pPr>
      <w:pStyle w:val="Header"/>
    </w:pPr>
    <w:r>
      <w:t>Name: _____________________</w:t>
    </w:r>
    <w:r>
      <w:tab/>
    </w:r>
    <w:r>
      <w:tab/>
      <w:t>Block: 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1D7"/>
    <w:rsid w:val="003679EC"/>
    <w:rsid w:val="00506379"/>
    <w:rsid w:val="006D41DE"/>
    <w:rsid w:val="006E42A0"/>
    <w:rsid w:val="00D311D7"/>
    <w:rsid w:val="00D8297A"/>
    <w:rsid w:val="00E35C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an"/>
    <w:next w:val="BodyText"/>
    <w:qFormat/>
    <w:rsid w:val="00D311D7"/>
    <w:pPr>
      <w:spacing w:after="0" w:line="240" w:lineRule="auto"/>
    </w:pPr>
    <w:rPr>
      <w:rFonts w:ascii="Arial" w:eastAsia="Times New Roman" w:hAnsi="Arial"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311D7"/>
    <w:pPr>
      <w:spacing w:after="120"/>
    </w:pPr>
  </w:style>
  <w:style w:type="character" w:customStyle="1" w:styleId="BodyTextChar">
    <w:name w:val="Body Text Char"/>
    <w:basedOn w:val="DefaultParagraphFont"/>
    <w:link w:val="BodyText"/>
    <w:semiHidden/>
    <w:rsid w:val="00D311D7"/>
    <w:rPr>
      <w:rFonts w:ascii="Arial" w:eastAsia="Times New Roman" w:hAnsi="Arial" w:cs="Times New Roman"/>
      <w:sz w:val="24"/>
      <w:szCs w:val="20"/>
      <w:lang w:val="en-US" w:eastAsia="en-CA"/>
    </w:rPr>
  </w:style>
  <w:style w:type="paragraph" w:styleId="BalloonText">
    <w:name w:val="Balloon Text"/>
    <w:basedOn w:val="Normal"/>
    <w:link w:val="BalloonTextChar"/>
    <w:uiPriority w:val="99"/>
    <w:semiHidden/>
    <w:unhideWhenUsed/>
    <w:rsid w:val="00D311D7"/>
    <w:rPr>
      <w:rFonts w:ascii="Tahoma" w:hAnsi="Tahoma" w:cs="Tahoma"/>
      <w:sz w:val="16"/>
      <w:szCs w:val="16"/>
    </w:rPr>
  </w:style>
  <w:style w:type="character" w:customStyle="1" w:styleId="BalloonTextChar">
    <w:name w:val="Balloon Text Char"/>
    <w:basedOn w:val="DefaultParagraphFont"/>
    <w:link w:val="BalloonText"/>
    <w:uiPriority w:val="99"/>
    <w:semiHidden/>
    <w:rsid w:val="00D311D7"/>
    <w:rPr>
      <w:rFonts w:ascii="Tahoma" w:eastAsia="Times New Roman" w:hAnsi="Tahoma" w:cs="Tahoma"/>
      <w:sz w:val="16"/>
      <w:szCs w:val="16"/>
      <w:lang w:val="en-US" w:eastAsia="en-CA"/>
    </w:rPr>
  </w:style>
  <w:style w:type="paragraph" w:styleId="Header">
    <w:name w:val="header"/>
    <w:basedOn w:val="Normal"/>
    <w:link w:val="HeaderChar"/>
    <w:uiPriority w:val="99"/>
    <w:unhideWhenUsed/>
    <w:rsid w:val="00D311D7"/>
    <w:pPr>
      <w:tabs>
        <w:tab w:val="center" w:pos="4680"/>
        <w:tab w:val="right" w:pos="9360"/>
      </w:tabs>
    </w:pPr>
  </w:style>
  <w:style w:type="character" w:customStyle="1" w:styleId="HeaderChar">
    <w:name w:val="Header Char"/>
    <w:basedOn w:val="DefaultParagraphFont"/>
    <w:link w:val="Header"/>
    <w:uiPriority w:val="99"/>
    <w:rsid w:val="00D311D7"/>
    <w:rPr>
      <w:rFonts w:ascii="Arial" w:eastAsia="Times New Roman" w:hAnsi="Arial" w:cs="Times New Roman"/>
      <w:sz w:val="24"/>
      <w:szCs w:val="20"/>
      <w:lang w:val="en-US" w:eastAsia="en-CA"/>
    </w:rPr>
  </w:style>
  <w:style w:type="paragraph" w:styleId="Footer">
    <w:name w:val="footer"/>
    <w:basedOn w:val="Normal"/>
    <w:link w:val="FooterChar"/>
    <w:uiPriority w:val="99"/>
    <w:unhideWhenUsed/>
    <w:rsid w:val="00D311D7"/>
    <w:pPr>
      <w:tabs>
        <w:tab w:val="center" w:pos="4680"/>
        <w:tab w:val="right" w:pos="9360"/>
      </w:tabs>
    </w:pPr>
  </w:style>
  <w:style w:type="character" w:customStyle="1" w:styleId="FooterChar">
    <w:name w:val="Footer Char"/>
    <w:basedOn w:val="DefaultParagraphFont"/>
    <w:link w:val="Footer"/>
    <w:uiPriority w:val="99"/>
    <w:rsid w:val="00D311D7"/>
    <w:rPr>
      <w:rFonts w:ascii="Arial" w:eastAsia="Times New Roman" w:hAnsi="Arial" w:cs="Times New Roman"/>
      <w:sz w:val="24"/>
      <w:szCs w:val="20"/>
      <w:lang w:val="en-US" w:eastAsia="en-CA"/>
    </w:rPr>
  </w:style>
  <w:style w:type="table" w:styleId="TableGrid">
    <w:name w:val="Table Grid"/>
    <w:basedOn w:val="TableNormal"/>
    <w:uiPriority w:val="59"/>
    <w:rsid w:val="00506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an"/>
    <w:next w:val="BodyText"/>
    <w:qFormat/>
    <w:rsid w:val="00D311D7"/>
    <w:pPr>
      <w:spacing w:after="0" w:line="240" w:lineRule="auto"/>
    </w:pPr>
    <w:rPr>
      <w:rFonts w:ascii="Arial" w:eastAsia="Times New Roman" w:hAnsi="Arial"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311D7"/>
    <w:pPr>
      <w:spacing w:after="120"/>
    </w:pPr>
  </w:style>
  <w:style w:type="character" w:customStyle="1" w:styleId="BodyTextChar">
    <w:name w:val="Body Text Char"/>
    <w:basedOn w:val="DefaultParagraphFont"/>
    <w:link w:val="BodyText"/>
    <w:semiHidden/>
    <w:rsid w:val="00D311D7"/>
    <w:rPr>
      <w:rFonts w:ascii="Arial" w:eastAsia="Times New Roman" w:hAnsi="Arial" w:cs="Times New Roman"/>
      <w:sz w:val="24"/>
      <w:szCs w:val="20"/>
      <w:lang w:val="en-US" w:eastAsia="en-CA"/>
    </w:rPr>
  </w:style>
  <w:style w:type="paragraph" w:styleId="BalloonText">
    <w:name w:val="Balloon Text"/>
    <w:basedOn w:val="Normal"/>
    <w:link w:val="BalloonTextChar"/>
    <w:uiPriority w:val="99"/>
    <w:semiHidden/>
    <w:unhideWhenUsed/>
    <w:rsid w:val="00D311D7"/>
    <w:rPr>
      <w:rFonts w:ascii="Tahoma" w:hAnsi="Tahoma" w:cs="Tahoma"/>
      <w:sz w:val="16"/>
      <w:szCs w:val="16"/>
    </w:rPr>
  </w:style>
  <w:style w:type="character" w:customStyle="1" w:styleId="BalloonTextChar">
    <w:name w:val="Balloon Text Char"/>
    <w:basedOn w:val="DefaultParagraphFont"/>
    <w:link w:val="BalloonText"/>
    <w:uiPriority w:val="99"/>
    <w:semiHidden/>
    <w:rsid w:val="00D311D7"/>
    <w:rPr>
      <w:rFonts w:ascii="Tahoma" w:eastAsia="Times New Roman" w:hAnsi="Tahoma" w:cs="Tahoma"/>
      <w:sz w:val="16"/>
      <w:szCs w:val="16"/>
      <w:lang w:val="en-US" w:eastAsia="en-CA"/>
    </w:rPr>
  </w:style>
  <w:style w:type="paragraph" w:styleId="Header">
    <w:name w:val="header"/>
    <w:basedOn w:val="Normal"/>
    <w:link w:val="HeaderChar"/>
    <w:uiPriority w:val="99"/>
    <w:unhideWhenUsed/>
    <w:rsid w:val="00D311D7"/>
    <w:pPr>
      <w:tabs>
        <w:tab w:val="center" w:pos="4680"/>
        <w:tab w:val="right" w:pos="9360"/>
      </w:tabs>
    </w:pPr>
  </w:style>
  <w:style w:type="character" w:customStyle="1" w:styleId="HeaderChar">
    <w:name w:val="Header Char"/>
    <w:basedOn w:val="DefaultParagraphFont"/>
    <w:link w:val="Header"/>
    <w:uiPriority w:val="99"/>
    <w:rsid w:val="00D311D7"/>
    <w:rPr>
      <w:rFonts w:ascii="Arial" w:eastAsia="Times New Roman" w:hAnsi="Arial" w:cs="Times New Roman"/>
      <w:sz w:val="24"/>
      <w:szCs w:val="20"/>
      <w:lang w:val="en-US" w:eastAsia="en-CA"/>
    </w:rPr>
  </w:style>
  <w:style w:type="paragraph" w:styleId="Footer">
    <w:name w:val="footer"/>
    <w:basedOn w:val="Normal"/>
    <w:link w:val="FooterChar"/>
    <w:uiPriority w:val="99"/>
    <w:unhideWhenUsed/>
    <w:rsid w:val="00D311D7"/>
    <w:pPr>
      <w:tabs>
        <w:tab w:val="center" w:pos="4680"/>
        <w:tab w:val="right" w:pos="9360"/>
      </w:tabs>
    </w:pPr>
  </w:style>
  <w:style w:type="character" w:customStyle="1" w:styleId="FooterChar">
    <w:name w:val="Footer Char"/>
    <w:basedOn w:val="DefaultParagraphFont"/>
    <w:link w:val="Footer"/>
    <w:uiPriority w:val="99"/>
    <w:rsid w:val="00D311D7"/>
    <w:rPr>
      <w:rFonts w:ascii="Arial" w:eastAsia="Times New Roman" w:hAnsi="Arial" w:cs="Times New Roman"/>
      <w:sz w:val="24"/>
      <w:szCs w:val="20"/>
      <w:lang w:val="en-US" w:eastAsia="en-CA"/>
    </w:rPr>
  </w:style>
  <w:style w:type="table" w:styleId="TableGrid">
    <w:name w:val="Table Grid"/>
    <w:basedOn w:val="TableNormal"/>
    <w:uiPriority w:val="59"/>
    <w:rsid w:val="00506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46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Chamberlin</dc:creator>
  <cp:lastModifiedBy>Meg Chamberlin</cp:lastModifiedBy>
  <cp:revision>4</cp:revision>
  <cp:lastPrinted>2014-01-24T17:25:00Z</cp:lastPrinted>
  <dcterms:created xsi:type="dcterms:W3CDTF">2014-01-24T17:05:00Z</dcterms:created>
  <dcterms:modified xsi:type="dcterms:W3CDTF">2014-01-24T17:26:00Z</dcterms:modified>
</cp:coreProperties>
</file>